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AB" w:rsidRPr="00013DC1" w:rsidRDefault="00611835" w:rsidP="005A05B6">
      <w:pPr>
        <w:pStyle w:val="Tituloarticulo"/>
      </w:pPr>
      <w:bookmarkStart w:id="0" w:name="_GoBack"/>
      <w:r w:rsidRPr="00013DC1">
        <w:t>Un nuevo procedimiento para predecir los ciclos secundar</w:t>
      </w:r>
      <w:r w:rsidR="004231D1" w:rsidRPr="00013DC1">
        <w:t>ios de histéresis de los suelos no saturados</w:t>
      </w:r>
    </w:p>
    <w:bookmarkEnd w:id="0"/>
    <w:p w:rsidR="0034607E" w:rsidRPr="00013DC1" w:rsidRDefault="004231D1" w:rsidP="009B6333">
      <w:pPr>
        <w:pStyle w:val="Tituloarticuloingles"/>
      </w:pPr>
      <w:r w:rsidRPr="00013DC1">
        <w:rPr>
          <w:caps w:val="0"/>
        </w:rPr>
        <w:t xml:space="preserve">A new procedure for predicting the secondary </w:t>
      </w:r>
      <w:r w:rsidR="00CE1FF7" w:rsidRPr="00013DC1">
        <w:rPr>
          <w:caps w:val="0"/>
        </w:rPr>
        <w:t xml:space="preserve">hysteresis </w:t>
      </w:r>
      <w:r w:rsidRPr="00013DC1">
        <w:rPr>
          <w:caps w:val="0"/>
        </w:rPr>
        <w:t>cycles for unsaturated soils</w:t>
      </w:r>
    </w:p>
    <w:p w:rsidR="0080000E" w:rsidRPr="00013DC1" w:rsidRDefault="0052777F" w:rsidP="001171FF">
      <w:pPr>
        <w:pStyle w:val="Autores"/>
        <w:rPr>
          <w:rFonts w:cs="Arial"/>
          <w:lang w:val="es-MX"/>
        </w:rPr>
      </w:pPr>
      <w:r w:rsidRPr="00013DC1">
        <w:rPr>
          <w:rFonts w:cs="Arial"/>
          <w:lang w:val="es-MX"/>
        </w:rPr>
        <w:t>Roberto GALAVIZ</w:t>
      </w:r>
      <w:r w:rsidR="0080000E" w:rsidRPr="00013DC1">
        <w:rPr>
          <w:rFonts w:cs="Arial"/>
          <w:vertAlign w:val="superscript"/>
          <w:lang w:val="es-MX"/>
        </w:rPr>
        <w:t>1</w:t>
      </w:r>
      <w:r w:rsidR="0080000E" w:rsidRPr="00013DC1">
        <w:rPr>
          <w:rFonts w:cs="Arial"/>
          <w:lang w:val="es-MX"/>
        </w:rPr>
        <w:t xml:space="preserve">, </w:t>
      </w:r>
      <w:r w:rsidR="00AE5835" w:rsidRPr="00013DC1">
        <w:rPr>
          <w:rFonts w:cs="Arial"/>
          <w:lang w:val="es-MX"/>
        </w:rPr>
        <w:t>Jaime HORTA</w:t>
      </w:r>
      <w:r w:rsidR="00AE5835" w:rsidRPr="00013DC1">
        <w:rPr>
          <w:rFonts w:cs="Arial"/>
          <w:vertAlign w:val="superscript"/>
          <w:lang w:val="es-MX"/>
        </w:rPr>
        <w:t>1</w:t>
      </w:r>
      <w:r w:rsidR="00AE5835" w:rsidRPr="00013DC1">
        <w:rPr>
          <w:rFonts w:cs="Arial"/>
          <w:lang w:val="es-MX"/>
        </w:rPr>
        <w:t xml:space="preserve">, Eduardo </w:t>
      </w:r>
      <w:r w:rsidRPr="00013DC1">
        <w:rPr>
          <w:rFonts w:cs="Arial"/>
          <w:lang w:val="es-MX"/>
        </w:rPr>
        <w:t>ROJAS</w:t>
      </w:r>
      <w:r w:rsidR="00AE5835" w:rsidRPr="00013DC1">
        <w:rPr>
          <w:rFonts w:cs="Arial"/>
          <w:vertAlign w:val="superscript"/>
          <w:lang w:val="es-MX"/>
        </w:rPr>
        <w:t>1</w:t>
      </w:r>
      <w:r w:rsidR="00AE5835" w:rsidRPr="00013DC1">
        <w:rPr>
          <w:rFonts w:cs="Arial"/>
          <w:lang w:val="es-MX"/>
        </w:rPr>
        <w:t xml:space="preserve">, </w:t>
      </w:r>
      <w:r w:rsidR="007F2686" w:rsidRPr="00013DC1">
        <w:rPr>
          <w:rFonts w:cs="Arial"/>
          <w:lang w:val="es-MX"/>
        </w:rPr>
        <w:t xml:space="preserve">María de la </w:t>
      </w:r>
      <w:r w:rsidR="00AE5835" w:rsidRPr="00013DC1">
        <w:rPr>
          <w:rFonts w:cs="Arial"/>
          <w:lang w:val="es-MX"/>
        </w:rPr>
        <w:t>Luz PÉREZ</w:t>
      </w:r>
      <w:r w:rsidRPr="00013DC1">
        <w:rPr>
          <w:rFonts w:cs="Arial"/>
          <w:lang w:val="es-MX"/>
        </w:rPr>
        <w:t>-</w:t>
      </w:r>
      <w:r w:rsidR="00AE5835" w:rsidRPr="00013DC1">
        <w:rPr>
          <w:rFonts w:cs="Arial"/>
          <w:lang w:val="es-MX"/>
        </w:rPr>
        <w:t>REA</w:t>
      </w:r>
      <w:r w:rsidR="00AE5835" w:rsidRPr="00013DC1">
        <w:rPr>
          <w:rFonts w:cs="Arial"/>
          <w:vertAlign w:val="superscript"/>
          <w:lang w:val="es-MX"/>
        </w:rPr>
        <w:t xml:space="preserve">1 </w:t>
      </w:r>
      <w:r w:rsidR="0080000E" w:rsidRPr="00013DC1">
        <w:rPr>
          <w:rFonts w:cs="Arial"/>
          <w:lang w:val="es-MX"/>
        </w:rPr>
        <w:t xml:space="preserve">y </w:t>
      </w:r>
      <w:r w:rsidR="00AE5835" w:rsidRPr="00013DC1">
        <w:rPr>
          <w:rFonts w:cs="Arial"/>
          <w:lang w:val="es-MX"/>
        </w:rPr>
        <w:t>Jaime ROBLES</w:t>
      </w:r>
      <w:r w:rsidR="00AE5835" w:rsidRPr="00013DC1">
        <w:rPr>
          <w:rFonts w:cs="Arial"/>
          <w:vertAlign w:val="superscript"/>
          <w:lang w:val="es-MX"/>
        </w:rPr>
        <w:t>2</w:t>
      </w:r>
    </w:p>
    <w:p w:rsidR="0034607E" w:rsidRPr="00013DC1" w:rsidRDefault="0034607E" w:rsidP="009B6333">
      <w:pPr>
        <w:pStyle w:val="Autores"/>
        <w:jc w:val="both"/>
        <w:rPr>
          <w:lang w:val="es-MX"/>
        </w:rPr>
        <w:sectPr w:rsidR="0034607E" w:rsidRPr="00013DC1" w:rsidSect="003460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77" w:right="1264" w:bottom="1043" w:left="1264" w:header="567" w:footer="566" w:gutter="0"/>
          <w:cols w:space="284"/>
          <w:formProt w:val="0"/>
          <w:noEndnote/>
          <w:titlePg/>
          <w:docGrid w:linePitch="272"/>
        </w:sectPr>
      </w:pPr>
    </w:p>
    <w:p w:rsidR="0034607E" w:rsidRPr="00013DC1" w:rsidRDefault="00AE5835" w:rsidP="00E845FC">
      <w:pPr>
        <w:pStyle w:val="Filiacion"/>
      </w:pPr>
      <w:r w:rsidRPr="00013DC1">
        <w:rPr>
          <w:rFonts w:cs="Arial"/>
          <w:szCs w:val="18"/>
          <w:vertAlign w:val="superscript"/>
        </w:rPr>
        <w:lastRenderedPageBreak/>
        <w:t>1</w:t>
      </w:r>
      <w:r w:rsidRPr="00013DC1">
        <w:rPr>
          <w:rFonts w:cs="Arial"/>
          <w:szCs w:val="18"/>
        </w:rPr>
        <w:t>División de Investigación y Posgrado, Facultad de Ingeniería, Universidad Autónoma de Querétaro,</w:t>
      </w:r>
      <w:r w:rsidR="004231D1" w:rsidRPr="00013DC1">
        <w:rPr>
          <w:rFonts w:cs="Arial"/>
          <w:szCs w:val="18"/>
        </w:rPr>
        <w:t xml:space="preserve"> Cerro de las Campa</w:t>
      </w:r>
      <w:r w:rsidRPr="00013DC1">
        <w:rPr>
          <w:rFonts w:cs="Arial"/>
          <w:szCs w:val="18"/>
        </w:rPr>
        <w:t>nas S/N. Col. Niños Héroes, C.P. 76010, Santiago de Querétaro, Querétaro, México.</w:t>
      </w:r>
    </w:p>
    <w:p w:rsidR="0034607E" w:rsidRPr="00013DC1" w:rsidRDefault="00AE5835" w:rsidP="00AE5835">
      <w:pPr>
        <w:pStyle w:val="Filiacion"/>
      </w:pPr>
      <w:r w:rsidRPr="00013DC1">
        <w:rPr>
          <w:rFonts w:cs="Arial"/>
          <w:szCs w:val="18"/>
          <w:vertAlign w:val="superscript"/>
        </w:rPr>
        <w:t>2</w:t>
      </w:r>
      <w:r w:rsidRPr="00013DC1">
        <w:rPr>
          <w:rFonts w:cs="Arial"/>
          <w:szCs w:val="18"/>
        </w:rPr>
        <w:t>División de Ingenierías, Centro Universitario de Ciencias Exactas e Ingeniería, Universidad de Guadalajara, Boulevard Marcelino García Barragán 1421, Zona Olímpica, C.P. 44430. Guadalajara, Jalisco, México.</w:t>
      </w:r>
    </w:p>
    <w:p w:rsidR="0034607E" w:rsidRPr="00013DC1" w:rsidRDefault="0034607E" w:rsidP="0034607E">
      <w:pPr>
        <w:pStyle w:val="Resumen"/>
        <w:rPr>
          <w:lang w:val="es-MX"/>
        </w:rPr>
      </w:pPr>
      <w:r w:rsidRPr="00013DC1">
        <w:rPr>
          <w:lang w:val="es-MX"/>
        </w:rPr>
        <w:t xml:space="preserve">RESUMEN: </w:t>
      </w:r>
      <w:r w:rsidR="00F47C32" w:rsidRPr="00013DC1">
        <w:rPr>
          <w:rFonts w:cs="Arial"/>
          <w:lang w:val="es-MX"/>
        </w:rPr>
        <w:t>La histéresis es un fenómeno que se produce por el flujo de agua a través del suelo y es importante en la predicción del comportamiento hidromecánico de un suelo no saturado. Este se produce por ciclos de humedecimiento-secado que generan cambios de succión y contenido de agua. Debido a esto, se han desarrollado modelos teóricos con los cuales se ajusta la Curva de Retención de Agua-Suelo (SWRC)</w:t>
      </w:r>
      <w:r w:rsidR="004A2A67" w:rsidRPr="00013DC1">
        <w:rPr>
          <w:rFonts w:cs="Arial"/>
          <w:lang w:val="es-MX"/>
        </w:rPr>
        <w:t>,</w:t>
      </w:r>
      <w:r w:rsidR="00F47C32" w:rsidRPr="00013DC1">
        <w:rPr>
          <w:rFonts w:cs="Arial"/>
          <w:lang w:val="es-MX"/>
        </w:rPr>
        <w:t xml:space="preserve"> ya que estas han sido usadas para estimar diversos parámetros que describen el comportamiento del suelo. Sin embargo, los ajustes poseen baja correlación con la SWRC experimental. Este trabajo presenta un procedimiento para determinar </w:t>
      </w:r>
      <w:proofErr w:type="gramStart"/>
      <w:r w:rsidR="00F47C32" w:rsidRPr="00013DC1">
        <w:rPr>
          <w:rFonts w:cs="Arial"/>
          <w:lang w:val="es-MX"/>
        </w:rPr>
        <w:t>los ciclos secundarios de histéresis, basado</w:t>
      </w:r>
      <w:proofErr w:type="gramEnd"/>
      <w:r w:rsidR="00F47C32" w:rsidRPr="00013DC1">
        <w:rPr>
          <w:rFonts w:cs="Arial"/>
          <w:lang w:val="es-MX"/>
        </w:rPr>
        <w:t xml:space="preserve"> en un arreglo tipo tabla que provee una aproximación </w:t>
      </w:r>
      <w:proofErr w:type="spellStart"/>
      <w:r w:rsidR="00F47C32" w:rsidRPr="00013DC1">
        <w:rPr>
          <w:rFonts w:cs="Arial"/>
          <w:lang w:val="es-MX"/>
        </w:rPr>
        <w:t>polinomial</w:t>
      </w:r>
      <w:proofErr w:type="spellEnd"/>
      <w:r w:rsidR="00F47C32" w:rsidRPr="00013DC1">
        <w:rPr>
          <w:rFonts w:cs="Arial"/>
          <w:lang w:val="es-MX"/>
        </w:rPr>
        <w:t xml:space="preserve"> de la SWRC que mejora la predicción de los ciclos de histéresis. Los resultados obtenidos con el procedimiento propuesto fueron comparados con resultados experimentales reportados y calculados con métodos de otros autores. Dichos resultados muestran que las curvas principales fueron mejoradas debido </w:t>
      </w:r>
      <w:proofErr w:type="gramStart"/>
      <w:r w:rsidR="00F47C32" w:rsidRPr="00013DC1">
        <w:rPr>
          <w:rFonts w:cs="Arial"/>
          <w:lang w:val="es-MX"/>
        </w:rPr>
        <w:t>al</w:t>
      </w:r>
      <w:proofErr w:type="gramEnd"/>
      <w:r w:rsidR="00F47C32" w:rsidRPr="00013DC1">
        <w:rPr>
          <w:rFonts w:cs="Arial"/>
          <w:lang w:val="es-MX"/>
        </w:rPr>
        <w:t xml:space="preserve"> 100% de correlación obtenida. Los ciclos secundarios fueron consistentes con los reportados por otros autores, esto muestra que nuestro procedimiento es una herramienta precisa y sencilla de utilizar ya que se evita el proceso de ajuste de la SWRC.</w:t>
      </w:r>
    </w:p>
    <w:p w:rsidR="00D933E1" w:rsidRPr="00013DC1" w:rsidRDefault="0034607E" w:rsidP="00D933E1">
      <w:pPr>
        <w:pStyle w:val="ResumenIngles"/>
        <w:rPr>
          <w:szCs w:val="18"/>
        </w:rPr>
      </w:pPr>
      <w:r w:rsidRPr="00013DC1">
        <w:t xml:space="preserve">ABSTRACT: </w:t>
      </w:r>
      <w:r w:rsidR="00213C6C" w:rsidRPr="00013DC1">
        <w:rPr>
          <w:rFonts w:cs="Arial"/>
        </w:rPr>
        <w:t xml:space="preserve">The hysteresis is a phenomenon that occurs in the water flow through the soil and is important in predicting the behavior of a </w:t>
      </w:r>
      <w:proofErr w:type="spellStart"/>
      <w:r w:rsidR="00213C6C" w:rsidRPr="00013DC1">
        <w:rPr>
          <w:rFonts w:cs="Arial"/>
        </w:rPr>
        <w:t>hydromechanical</w:t>
      </w:r>
      <w:proofErr w:type="spellEnd"/>
      <w:r w:rsidR="00213C6C" w:rsidRPr="00013DC1">
        <w:rPr>
          <w:rFonts w:cs="Arial"/>
        </w:rPr>
        <w:t xml:space="preserve"> unsaturated soil. This is produced by drying-wetting cycles that generate suction and water content changes. Because of this, theoretical models have been</w:t>
      </w:r>
      <w:r w:rsidR="00CE1FF7" w:rsidRPr="00013DC1">
        <w:rPr>
          <w:rFonts w:cs="Arial"/>
        </w:rPr>
        <w:t xml:space="preserve"> developed with which the Soil-</w:t>
      </w:r>
      <w:r w:rsidR="00213C6C" w:rsidRPr="00013DC1">
        <w:rPr>
          <w:rFonts w:cs="Arial"/>
        </w:rPr>
        <w:t xml:space="preserve">Water Retention </w:t>
      </w:r>
      <w:r w:rsidR="00CE1FF7" w:rsidRPr="00013DC1">
        <w:rPr>
          <w:rFonts w:cs="Arial"/>
        </w:rPr>
        <w:t xml:space="preserve">Curve </w:t>
      </w:r>
      <w:r w:rsidR="00213C6C" w:rsidRPr="00013DC1">
        <w:rPr>
          <w:rFonts w:cs="Arial"/>
        </w:rPr>
        <w:t>(SWRC) is fitted, as these have been used to estimate various parameters describing the soil behavior. However, the adjustments have low correlation with experimental SWRC. This paper presents a procedure for determining the secondary hysteresis cycles, based on arrangement table that provides a polynomial approximation of the SWRC that improves the prediction of the hysteresis cycles. The results obtained with the proposed procedure were compared with experimental and calculated results reported by methods from other authors. These results show that the main curves were improved because we obtained a 100% of correlation. The secondary cycles were consistent with those reported by other authors, this shows that our procedure is an accurate and simple tool to use, also the adjusting process of the SWRC is avoided.</w:t>
      </w:r>
    </w:p>
    <w:p w:rsidR="00C130C5" w:rsidRPr="00013DC1" w:rsidRDefault="00C130C5" w:rsidP="00C130C5">
      <w:pPr>
        <w:pStyle w:val="Resumen"/>
      </w:pPr>
    </w:p>
    <w:p w:rsidR="00C130C5" w:rsidRPr="00013DC1" w:rsidRDefault="00C130C5" w:rsidP="00907445">
      <w:pPr>
        <w:ind w:firstLine="0"/>
        <w:sectPr w:rsidR="00C130C5" w:rsidRPr="00013DC1" w:rsidSect="004231D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77" w:right="1264" w:bottom="1043" w:left="1264" w:header="567" w:footer="567" w:gutter="0"/>
          <w:cols w:space="284"/>
          <w:formProt w:val="0"/>
          <w:noEndnote/>
          <w:titlePg/>
          <w:docGrid w:linePitch="272"/>
        </w:sectPr>
      </w:pPr>
    </w:p>
    <w:p w:rsidR="00715BE0" w:rsidRPr="00013DC1" w:rsidRDefault="00466B67" w:rsidP="0071081B">
      <w:pPr>
        <w:pStyle w:val="Ttulo1"/>
        <w:spacing w:before="0"/>
        <w:rPr>
          <w:lang w:val="es-MX"/>
        </w:rPr>
      </w:pPr>
      <w:r w:rsidRPr="00013DC1">
        <w:rPr>
          <w:lang w:val="es-MX"/>
        </w:rPr>
        <w:lastRenderedPageBreak/>
        <w:t>I</w:t>
      </w:r>
      <w:r w:rsidR="008E16EA" w:rsidRPr="00013DC1">
        <w:rPr>
          <w:lang w:val="es-MX"/>
        </w:rPr>
        <w:t>NTRODUCCI</w:t>
      </w:r>
      <w:r w:rsidR="00FE3D6F" w:rsidRPr="00013DC1">
        <w:rPr>
          <w:rFonts w:cs="Arial"/>
          <w:lang w:val="es-MX"/>
        </w:rPr>
        <w:t>Ó</w:t>
      </w:r>
      <w:r w:rsidR="008E16EA" w:rsidRPr="00013DC1">
        <w:rPr>
          <w:lang w:val="es-MX"/>
        </w:rPr>
        <w:t>N</w:t>
      </w:r>
    </w:p>
    <w:p w:rsidR="00F346BC" w:rsidRPr="00013DC1" w:rsidRDefault="002C1B11" w:rsidP="00F346BC">
      <w:pPr>
        <w:pStyle w:val="PrimerParrafo"/>
      </w:pPr>
      <w:r w:rsidRPr="00013DC1">
        <w:t xml:space="preserve">Sabemos que el comportamiento de un suelo no saturado depende en gran medida de los cambios en la succión generados por los cambios en el contenido de agua (Arroyo </w:t>
      </w:r>
      <w:r w:rsidRPr="00013DC1">
        <w:rPr>
          <w:i/>
        </w:rPr>
        <w:t>et al.</w:t>
      </w:r>
      <w:r w:rsidRPr="00013DC1">
        <w:t>, 2013), producidos a su vez por los ciclos de humedecimiento-secado. Esto ha llevado al uso de modelos numéricos y computacionales para predecir</w:t>
      </w:r>
      <w:r w:rsidR="00F346BC" w:rsidRPr="00013DC1">
        <w:t xml:space="preserve"> dichos </w:t>
      </w:r>
      <w:r w:rsidR="00A95ACD" w:rsidRPr="00013DC1">
        <w:t>ciclos de</w:t>
      </w:r>
      <w:r w:rsidR="00F346BC" w:rsidRPr="00013DC1">
        <w:t xml:space="preserve"> la Curva de Retención de Agua-Suelo (</w:t>
      </w:r>
      <w:proofErr w:type="spellStart"/>
      <w:r w:rsidR="00F346BC" w:rsidRPr="00013DC1">
        <w:t>S</w:t>
      </w:r>
      <w:r w:rsidR="00EF44BB" w:rsidRPr="00013DC1">
        <w:t>oil-Water</w:t>
      </w:r>
      <w:proofErr w:type="spellEnd"/>
      <w:r w:rsidR="00EF44BB" w:rsidRPr="00013DC1">
        <w:t xml:space="preserve"> </w:t>
      </w:r>
      <w:proofErr w:type="spellStart"/>
      <w:r w:rsidR="00EF44BB" w:rsidRPr="00013DC1">
        <w:t>Retention</w:t>
      </w:r>
      <w:proofErr w:type="spellEnd"/>
      <w:r w:rsidR="00EF44BB" w:rsidRPr="00013DC1">
        <w:t xml:space="preserve"> Curve</w:t>
      </w:r>
      <w:r w:rsidR="00F346BC" w:rsidRPr="00013DC1">
        <w:t xml:space="preserve">) y resulta de gran interés </w:t>
      </w:r>
      <w:r w:rsidR="00A95ACD" w:rsidRPr="00013DC1">
        <w:t xml:space="preserve">su uso </w:t>
      </w:r>
      <w:r w:rsidR="00F346BC" w:rsidRPr="00013DC1">
        <w:t xml:space="preserve">ya que </w:t>
      </w:r>
      <w:r w:rsidR="00A95ACD" w:rsidRPr="00013DC1">
        <w:t xml:space="preserve">la SWRC se utiliza como base para la predicción de los parámetros de los suelos no saturados, estos modelos </w:t>
      </w:r>
      <w:r w:rsidR="00F346BC" w:rsidRPr="00013DC1">
        <w:t>reduce</w:t>
      </w:r>
      <w:r w:rsidR="00A95ACD" w:rsidRPr="00013DC1">
        <w:t>n</w:t>
      </w:r>
      <w:r w:rsidR="00F346BC" w:rsidRPr="00013DC1">
        <w:t xml:space="preserve"> el tiempo y costo para obtener dichos parámetros.</w:t>
      </w:r>
    </w:p>
    <w:p w:rsidR="00F346BC" w:rsidRPr="00013DC1" w:rsidRDefault="00F346BC" w:rsidP="00F346BC">
      <w:pPr>
        <w:rPr>
          <w:lang w:val="es-MX"/>
        </w:rPr>
      </w:pPr>
      <w:r w:rsidRPr="00013DC1">
        <w:rPr>
          <w:lang w:val="es-MX"/>
        </w:rPr>
        <w:t xml:space="preserve">Se han desarrollado procedimientos numéricos para predecir los ciclos de histéresis de la SWRC. </w:t>
      </w:r>
      <w:r w:rsidRPr="00013DC1">
        <w:rPr>
          <w:lang w:val="es-MX"/>
        </w:rPr>
        <w:lastRenderedPageBreak/>
        <w:t xml:space="preserve">Entre los modelos más usados se encuentra el de van </w:t>
      </w:r>
      <w:proofErr w:type="spellStart"/>
      <w:r w:rsidRPr="00013DC1">
        <w:rPr>
          <w:lang w:val="es-MX"/>
        </w:rPr>
        <w:t>Genuchten</w:t>
      </w:r>
      <w:proofErr w:type="spellEnd"/>
      <w:r w:rsidRPr="00013DC1">
        <w:rPr>
          <w:lang w:val="es-MX"/>
        </w:rPr>
        <w:t xml:space="preserve"> (1980), con el que se obtienen las curvas principales. El de Han-</w:t>
      </w:r>
      <w:proofErr w:type="spellStart"/>
      <w:r w:rsidRPr="00013DC1">
        <w:rPr>
          <w:lang w:val="es-MX"/>
        </w:rPr>
        <w:t>Chen</w:t>
      </w:r>
      <w:proofErr w:type="spellEnd"/>
      <w:r w:rsidRPr="00013DC1">
        <w:rPr>
          <w:lang w:val="es-MX"/>
        </w:rPr>
        <w:t xml:space="preserve"> </w:t>
      </w:r>
      <w:r w:rsidRPr="00013DC1">
        <w:rPr>
          <w:i/>
          <w:lang w:val="es-MX"/>
        </w:rPr>
        <w:t>et al.</w:t>
      </w:r>
      <w:r w:rsidRPr="00013DC1">
        <w:rPr>
          <w:lang w:val="es-MX"/>
        </w:rPr>
        <w:t xml:space="preserve"> (2005) y </w:t>
      </w:r>
      <w:proofErr w:type="spellStart"/>
      <w:r w:rsidRPr="00013DC1">
        <w:rPr>
          <w:lang w:val="es-MX"/>
        </w:rPr>
        <w:t>Zhou</w:t>
      </w:r>
      <w:proofErr w:type="spellEnd"/>
      <w:r w:rsidRPr="00013DC1">
        <w:rPr>
          <w:lang w:val="es-MX"/>
        </w:rPr>
        <w:t xml:space="preserve"> </w:t>
      </w:r>
      <w:r w:rsidRPr="00013DC1">
        <w:rPr>
          <w:i/>
          <w:lang w:val="es-MX"/>
        </w:rPr>
        <w:t>et al.</w:t>
      </w:r>
      <w:r w:rsidRPr="00013DC1">
        <w:rPr>
          <w:lang w:val="es-MX"/>
        </w:rPr>
        <w:t xml:space="preserve"> (2012) se basan en el de van </w:t>
      </w:r>
      <w:proofErr w:type="spellStart"/>
      <w:r w:rsidRPr="00013DC1">
        <w:rPr>
          <w:lang w:val="es-MX"/>
        </w:rPr>
        <w:t>Genuchten</w:t>
      </w:r>
      <w:proofErr w:type="spellEnd"/>
      <w:r w:rsidRPr="00013DC1">
        <w:rPr>
          <w:lang w:val="es-MX"/>
        </w:rPr>
        <w:t xml:space="preserve"> para ajustar las curvas principales</w:t>
      </w:r>
      <w:r w:rsidR="00771786" w:rsidRPr="00013DC1">
        <w:rPr>
          <w:lang w:val="es-MX"/>
        </w:rPr>
        <w:t xml:space="preserve"> de la SWRC</w:t>
      </w:r>
      <w:r w:rsidRPr="00013DC1">
        <w:rPr>
          <w:lang w:val="es-MX"/>
        </w:rPr>
        <w:t xml:space="preserve"> y a partir de estas predecir los ciclos secundarios. Estos </w:t>
      </w:r>
      <w:r w:rsidR="00771786" w:rsidRPr="00013DC1">
        <w:rPr>
          <w:lang w:val="es-MX"/>
        </w:rPr>
        <w:t>métodos</w:t>
      </w:r>
      <w:r w:rsidRPr="00013DC1">
        <w:rPr>
          <w:lang w:val="es-MX"/>
        </w:rPr>
        <w:t xml:space="preserve"> han demostrado ser viables y </w:t>
      </w:r>
      <w:r w:rsidR="00771786" w:rsidRPr="00013DC1">
        <w:rPr>
          <w:lang w:val="es-MX"/>
        </w:rPr>
        <w:t>prácticos</w:t>
      </w:r>
      <w:r w:rsidR="00613754" w:rsidRPr="00013DC1">
        <w:rPr>
          <w:lang w:val="es-MX"/>
        </w:rPr>
        <w:t xml:space="preserve"> en suelos arenosos y limosos</w:t>
      </w:r>
      <w:r w:rsidRPr="00013DC1">
        <w:rPr>
          <w:lang w:val="es-MX"/>
        </w:rPr>
        <w:t xml:space="preserve">, </w:t>
      </w:r>
      <w:r w:rsidR="00771786" w:rsidRPr="00013DC1">
        <w:rPr>
          <w:lang w:val="es-MX"/>
        </w:rPr>
        <w:t>s</w:t>
      </w:r>
      <w:r w:rsidRPr="00013DC1">
        <w:rPr>
          <w:lang w:val="es-MX"/>
        </w:rPr>
        <w:t>in embargo,</w:t>
      </w:r>
      <w:r w:rsidR="00771786" w:rsidRPr="00013DC1">
        <w:rPr>
          <w:lang w:val="es-MX"/>
        </w:rPr>
        <w:t xml:space="preserve"> en algunos casos la SWRC ajustada con estas ecuaciones presentan baja correlación con la SWRC experimental</w:t>
      </w:r>
      <w:r w:rsidR="00613754" w:rsidRPr="00013DC1">
        <w:rPr>
          <w:lang w:val="es-MX"/>
        </w:rPr>
        <w:t xml:space="preserve"> (suelos arcillosos)</w:t>
      </w:r>
      <w:r w:rsidR="00771786" w:rsidRPr="00013DC1">
        <w:rPr>
          <w:lang w:val="es-MX"/>
        </w:rPr>
        <w:t>, esto puede provocar que los ciclos secundarios no sean los correctos y por consiguiente, la obtención de los parámetros a partir de la SWRC no serán precisos, arrojando resultados inade</w:t>
      </w:r>
      <w:r w:rsidR="00CE1FF7" w:rsidRPr="00013DC1">
        <w:rPr>
          <w:lang w:val="es-MX"/>
        </w:rPr>
        <w:t>cuados del comportamiento hidro</w:t>
      </w:r>
      <w:r w:rsidR="00771786" w:rsidRPr="00013DC1">
        <w:rPr>
          <w:lang w:val="es-MX"/>
        </w:rPr>
        <w:t>mecánico del suelo no saturado.</w:t>
      </w:r>
    </w:p>
    <w:p w:rsidR="00A95ACD" w:rsidRPr="00013DC1" w:rsidRDefault="00A95ACD" w:rsidP="00F346BC">
      <w:pPr>
        <w:rPr>
          <w:lang w:val="es-MX"/>
        </w:rPr>
      </w:pPr>
      <w:r w:rsidRPr="00013DC1">
        <w:rPr>
          <w:lang w:val="es-MX"/>
        </w:rPr>
        <w:lastRenderedPageBreak/>
        <w:t>Este trabajo, presenta un procedimiento para determinar los ciclos de histéresis de un</w:t>
      </w:r>
      <w:r w:rsidR="00E93241" w:rsidRPr="00013DC1">
        <w:rPr>
          <w:lang w:val="es-MX"/>
        </w:rPr>
        <w:t xml:space="preserve"> suelo no saturado a través de un</w:t>
      </w:r>
      <w:r w:rsidRPr="00013DC1">
        <w:rPr>
          <w:lang w:val="es-MX"/>
        </w:rPr>
        <w:t xml:space="preserve">a aproximación </w:t>
      </w:r>
      <w:proofErr w:type="spellStart"/>
      <w:r w:rsidRPr="00013DC1">
        <w:rPr>
          <w:lang w:val="es-MX"/>
        </w:rPr>
        <w:t>polinomial</w:t>
      </w:r>
      <w:proofErr w:type="spellEnd"/>
      <w:r w:rsidRPr="00013DC1">
        <w:rPr>
          <w:lang w:val="es-MX"/>
        </w:rPr>
        <w:t xml:space="preserve"> de la SWRC experimental, basado en un arreglo tipo tabla.</w:t>
      </w:r>
    </w:p>
    <w:p w:rsidR="00715BE0" w:rsidRPr="00013DC1" w:rsidRDefault="008E16EA" w:rsidP="008B6E28">
      <w:pPr>
        <w:pStyle w:val="Ttulo1"/>
        <w:overflowPunct w:val="0"/>
        <w:autoSpaceDE w:val="0"/>
        <w:autoSpaceDN w:val="0"/>
        <w:adjustRightInd w:val="0"/>
        <w:spacing w:after="0" w:line="200" w:lineRule="exact"/>
        <w:textAlignment w:val="baseline"/>
        <w:rPr>
          <w:lang w:val="es-MX"/>
        </w:rPr>
      </w:pPr>
      <w:r w:rsidRPr="00013DC1">
        <w:rPr>
          <w:lang w:val="es-MX"/>
        </w:rPr>
        <w:t>ANTECEDENTES</w:t>
      </w:r>
    </w:p>
    <w:p w:rsidR="00715BE0" w:rsidRPr="00013DC1" w:rsidRDefault="008E16EA" w:rsidP="00E93241">
      <w:pPr>
        <w:pStyle w:val="Ttulo2"/>
        <w:overflowPunct w:val="0"/>
        <w:autoSpaceDE w:val="0"/>
        <w:autoSpaceDN w:val="0"/>
        <w:adjustRightInd w:val="0"/>
        <w:spacing w:before="100" w:line="200" w:lineRule="exact"/>
        <w:ind w:left="0"/>
        <w:textAlignment w:val="baseline"/>
        <w:rPr>
          <w:lang w:val="es-MX"/>
        </w:rPr>
      </w:pPr>
      <w:r w:rsidRPr="00013DC1">
        <w:rPr>
          <w:lang w:val="es-MX"/>
        </w:rPr>
        <w:t>Curva de Retención Suelo-Agua (SWRC)</w:t>
      </w:r>
    </w:p>
    <w:p w:rsidR="008E16EA" w:rsidRPr="00013DC1" w:rsidRDefault="008E16EA" w:rsidP="005A05B6">
      <w:pPr>
        <w:pStyle w:val="PrimerParrafo"/>
      </w:pPr>
      <w:r w:rsidRPr="00013DC1">
        <w:t xml:space="preserve">El agua en el suelo fluye de un punto con mayor energía potencial hacia otro de menor potencial. Este se define como la energía potencial por unidad de agua, es decir, es el trabajo requerido para llevar dicha unidad desde un estado de referencia estándar hasta el punto bajo consideración. El agua en el suelo está sujeta a campos de fuerzas que resultan de la atracción de la matriz sólida, la presencia de solutos, la acción de la presión externa, la atracción gravitacional y otro. El potencial gravitacional se mide desde la superficie de los suelos (-z) y el de presión es una función del contenido de </w:t>
      </w:r>
      <w:r w:rsidR="00C538C8" w:rsidRPr="00013DC1">
        <w:t>agua</w:t>
      </w:r>
      <w:r w:rsidRPr="00013DC1">
        <w:t xml:space="preserve"> (θ). </w:t>
      </w:r>
      <w:r w:rsidR="00C538C8" w:rsidRPr="00013DC1">
        <w:t>Dicho</w:t>
      </w:r>
      <w:r w:rsidRPr="00013DC1">
        <w:t xml:space="preserve"> potencial de presión se considera positivo si el agua en el suelo está a una presión mayor a la atmosférica y negativo con una presión menor a la atmosférica. Este último es llamado potencial </w:t>
      </w:r>
      <w:proofErr w:type="spellStart"/>
      <w:r w:rsidRPr="00013DC1">
        <w:t>matrico</w:t>
      </w:r>
      <w:proofErr w:type="spellEnd"/>
      <w:r w:rsidRPr="00013DC1">
        <w:t xml:space="preserve"> y, cuando es tomado en valor absoluto se le denomina succión </w:t>
      </w:r>
      <w:proofErr w:type="spellStart"/>
      <w:r w:rsidRPr="00013DC1">
        <w:t>matrica</w:t>
      </w:r>
      <w:proofErr w:type="spellEnd"/>
      <w:r w:rsidRPr="00013DC1">
        <w:t xml:space="preserve"> (ψ). Este resulta de las fuerzas capilares y de adsorción debido a la estructura del suelo </w:t>
      </w:r>
      <w:r w:rsidR="00DB0677" w:rsidRPr="00013DC1">
        <w:t>(Máximo, 2012)</w:t>
      </w:r>
      <w:r w:rsidRPr="00013DC1">
        <w:t>.</w:t>
      </w:r>
    </w:p>
    <w:p w:rsidR="0070450D" w:rsidRPr="00013DC1" w:rsidRDefault="0070450D" w:rsidP="005A05B6">
      <w:pPr>
        <w:ind w:firstLine="232"/>
        <w:rPr>
          <w:lang w:val="es-MX"/>
        </w:rPr>
      </w:pPr>
      <w:r w:rsidRPr="00013DC1">
        <w:rPr>
          <w:lang w:val="es-MX"/>
        </w:rPr>
        <w:t xml:space="preserve">Existen diversas técnicas para medir la succión </w:t>
      </w:r>
      <w:proofErr w:type="spellStart"/>
      <w:r w:rsidRPr="00013DC1">
        <w:rPr>
          <w:lang w:val="es-MX"/>
        </w:rPr>
        <w:t>matrica</w:t>
      </w:r>
      <w:proofErr w:type="spellEnd"/>
      <w:r w:rsidRPr="00013DC1">
        <w:rPr>
          <w:lang w:val="es-MX"/>
        </w:rPr>
        <w:t xml:space="preserve"> del suelo, estas se pueden dividir en métodos directos e indirectos. Los métodos directos miden la presión negativa del agua en los poros del suelo (</w:t>
      </w:r>
      <w:proofErr w:type="spellStart"/>
      <w:r w:rsidRPr="00013DC1">
        <w:rPr>
          <w:lang w:val="es-MX"/>
        </w:rPr>
        <w:t>u</w:t>
      </w:r>
      <w:r w:rsidRPr="00013DC1">
        <w:rPr>
          <w:vertAlign w:val="subscript"/>
          <w:lang w:val="es-MX"/>
        </w:rPr>
        <w:t>w</w:t>
      </w:r>
      <w:proofErr w:type="spellEnd"/>
      <w:r w:rsidRPr="00013DC1">
        <w:rPr>
          <w:lang w:val="es-MX"/>
        </w:rPr>
        <w:t xml:space="preserve">), entonces la succión </w:t>
      </w:r>
      <w:proofErr w:type="spellStart"/>
      <w:r w:rsidRPr="00013DC1">
        <w:rPr>
          <w:lang w:val="es-MX"/>
        </w:rPr>
        <w:t>matrica</w:t>
      </w:r>
      <w:proofErr w:type="spellEnd"/>
      <w:r w:rsidRPr="00013DC1">
        <w:rPr>
          <w:lang w:val="es-MX"/>
        </w:rPr>
        <w:t xml:space="preserve"> es (</w:t>
      </w:r>
      <w:proofErr w:type="spellStart"/>
      <w:r w:rsidRPr="00013DC1">
        <w:rPr>
          <w:lang w:val="es-MX"/>
        </w:rPr>
        <w:t>u</w:t>
      </w:r>
      <w:r w:rsidRPr="00013DC1">
        <w:rPr>
          <w:vertAlign w:val="subscript"/>
          <w:lang w:val="es-MX"/>
        </w:rPr>
        <w:t>a</w:t>
      </w:r>
      <w:r w:rsidRPr="00013DC1">
        <w:rPr>
          <w:lang w:val="es-MX"/>
        </w:rPr>
        <w:t>-u</w:t>
      </w:r>
      <w:r w:rsidRPr="00013DC1">
        <w:rPr>
          <w:vertAlign w:val="subscript"/>
          <w:lang w:val="es-MX"/>
        </w:rPr>
        <w:t>w</w:t>
      </w:r>
      <w:proofErr w:type="spellEnd"/>
      <w:r w:rsidRPr="00013DC1">
        <w:rPr>
          <w:lang w:val="es-MX"/>
        </w:rPr>
        <w:t>), siendo (</w:t>
      </w:r>
      <w:proofErr w:type="spellStart"/>
      <w:r w:rsidRPr="00013DC1">
        <w:rPr>
          <w:lang w:val="es-MX"/>
        </w:rPr>
        <w:t>u</w:t>
      </w:r>
      <w:r w:rsidRPr="00013DC1">
        <w:rPr>
          <w:vertAlign w:val="subscript"/>
          <w:lang w:val="es-MX"/>
        </w:rPr>
        <w:t>a</w:t>
      </w:r>
      <w:proofErr w:type="spellEnd"/>
      <w:r w:rsidRPr="00013DC1">
        <w:rPr>
          <w:lang w:val="es-MX"/>
        </w:rPr>
        <w:t xml:space="preserve">) la presión (atmosférica) de aire en los poros. Entre los métodos directos más usados son los tensiómetros y la técnica de traslación de ejes. Entre los métodos indirectos se encuentra la técnica del papel filtro </w:t>
      </w:r>
      <w:r w:rsidR="0037016D" w:rsidRPr="00013DC1">
        <w:rPr>
          <w:lang w:val="es-MX"/>
        </w:rPr>
        <w:t>en “contacto” con el suelo y los sensores de conductividad térmica y eléctrica (Meza, 2012).</w:t>
      </w:r>
    </w:p>
    <w:p w:rsidR="003A158B" w:rsidRPr="00013DC1" w:rsidRDefault="0037016D" w:rsidP="005A05B6">
      <w:pPr>
        <w:ind w:firstLine="232"/>
        <w:rPr>
          <w:lang w:val="es-MX"/>
        </w:rPr>
      </w:pPr>
      <w:r w:rsidRPr="00013DC1">
        <w:rPr>
          <w:lang w:val="es-MX"/>
        </w:rPr>
        <w:t>De esta manera</w:t>
      </w:r>
      <w:r w:rsidR="003A158B" w:rsidRPr="00013DC1">
        <w:rPr>
          <w:lang w:val="es-MX"/>
        </w:rPr>
        <w:t>, a la relación que existe entre el contenido de agua (</w:t>
      </w:r>
      <w:r w:rsidR="003A158B" w:rsidRPr="00013DC1">
        <w:rPr>
          <w:rFonts w:cs="Arial"/>
          <w:lang w:val="es-MX"/>
        </w:rPr>
        <w:t>ω</w:t>
      </w:r>
      <w:r w:rsidR="003A158B" w:rsidRPr="00013DC1">
        <w:rPr>
          <w:lang w:val="es-MX"/>
        </w:rPr>
        <w:t xml:space="preserve"> o </w:t>
      </w:r>
      <w:r w:rsidR="003A158B" w:rsidRPr="00013DC1">
        <w:rPr>
          <w:rFonts w:cs="Arial"/>
          <w:lang w:val="es-MX"/>
        </w:rPr>
        <w:t>θ</w:t>
      </w:r>
      <w:r w:rsidR="003A158B" w:rsidRPr="00013DC1">
        <w:rPr>
          <w:lang w:val="es-MX"/>
        </w:rPr>
        <w:t xml:space="preserve">) o grado de saturación (Sr) del suelo con su respectiva succión </w:t>
      </w:r>
      <w:proofErr w:type="spellStart"/>
      <w:r w:rsidR="003A158B" w:rsidRPr="00013DC1">
        <w:rPr>
          <w:lang w:val="es-MX"/>
        </w:rPr>
        <w:t>matrica</w:t>
      </w:r>
      <w:proofErr w:type="spellEnd"/>
      <w:r w:rsidR="003A158B" w:rsidRPr="00013DC1">
        <w:rPr>
          <w:lang w:val="es-MX"/>
        </w:rPr>
        <w:t xml:space="preserve"> (ψ) se le conoce como Curva de Retención Suelo-Agua (SWRC por sus siglas en Inglés) </w:t>
      </w:r>
      <w:r w:rsidR="00406AF5" w:rsidRPr="00013DC1">
        <w:rPr>
          <w:lang w:val="es-MX"/>
        </w:rPr>
        <w:t>(Meza, 2012</w:t>
      </w:r>
      <w:r w:rsidR="003A158B" w:rsidRPr="00013DC1">
        <w:rPr>
          <w:lang w:val="es-MX"/>
        </w:rPr>
        <w:t>).</w:t>
      </w:r>
    </w:p>
    <w:p w:rsidR="0032664F" w:rsidRPr="00013DC1" w:rsidRDefault="0032664F" w:rsidP="005A05B6">
      <w:pPr>
        <w:ind w:firstLine="232"/>
        <w:rPr>
          <w:lang w:val="es-MX"/>
        </w:rPr>
      </w:pPr>
      <w:r w:rsidRPr="00013DC1">
        <w:rPr>
          <w:lang w:val="es-MX"/>
        </w:rPr>
        <w:t>Las SWRC pueden ser usadas para estimar diversos parámetros utilizados para descri</w:t>
      </w:r>
      <w:r w:rsidR="00DB0677" w:rsidRPr="00013DC1">
        <w:rPr>
          <w:lang w:val="es-MX"/>
        </w:rPr>
        <w:t>bir el comportamiento del suelo</w:t>
      </w:r>
      <w:r w:rsidR="00C538C8" w:rsidRPr="00013DC1">
        <w:rPr>
          <w:lang w:val="es-MX"/>
        </w:rPr>
        <w:t xml:space="preserve"> no saturado</w:t>
      </w:r>
      <w:r w:rsidR="00DB0677" w:rsidRPr="00013DC1">
        <w:rPr>
          <w:lang w:val="es-MX"/>
        </w:rPr>
        <w:t xml:space="preserve"> (</w:t>
      </w:r>
      <w:proofErr w:type="spellStart"/>
      <w:r w:rsidR="00DB0677" w:rsidRPr="00013DC1">
        <w:rPr>
          <w:lang w:val="es-MX"/>
        </w:rPr>
        <w:t>Fredlund</w:t>
      </w:r>
      <w:proofErr w:type="spellEnd"/>
      <w:r w:rsidR="00DB0677" w:rsidRPr="00013DC1">
        <w:rPr>
          <w:lang w:val="es-MX"/>
        </w:rPr>
        <w:t xml:space="preserve"> y </w:t>
      </w:r>
      <w:proofErr w:type="spellStart"/>
      <w:r w:rsidR="00DB0677" w:rsidRPr="00013DC1">
        <w:rPr>
          <w:lang w:val="es-MX"/>
        </w:rPr>
        <w:t>Xing</w:t>
      </w:r>
      <w:proofErr w:type="spellEnd"/>
      <w:r w:rsidR="00DB0677" w:rsidRPr="00013DC1">
        <w:rPr>
          <w:lang w:val="es-MX"/>
        </w:rPr>
        <w:t>, 1994)</w:t>
      </w:r>
      <w:r w:rsidRPr="00013DC1">
        <w:rPr>
          <w:lang w:val="es-MX"/>
        </w:rPr>
        <w:t xml:space="preserve"> y su uso se ha convertido en un aspecto importante en la mecánica de suelos no saturados debido a que estos materiales presentan un acoplamiento hidromecánico, es decir, su comportamiento volumétrico y su resistencia dependen no solo del esfuerzo aplicado y la succión, sino también de su grado de saturación (Sr) que depende de su contenido de humedad (ω o θ) (Horta </w:t>
      </w:r>
      <w:r w:rsidRPr="00013DC1">
        <w:rPr>
          <w:i/>
          <w:lang w:val="es-MX"/>
        </w:rPr>
        <w:t>et al.</w:t>
      </w:r>
      <w:r w:rsidRPr="00013DC1">
        <w:rPr>
          <w:lang w:val="es-MX"/>
        </w:rPr>
        <w:t>, 2012).</w:t>
      </w:r>
    </w:p>
    <w:p w:rsidR="008E16EA" w:rsidRPr="00013DC1" w:rsidRDefault="0008168E" w:rsidP="005A05B6">
      <w:pPr>
        <w:ind w:firstLine="232"/>
        <w:rPr>
          <w:lang w:val="es-MX"/>
        </w:rPr>
      </w:pPr>
      <w:r w:rsidRPr="00013DC1">
        <w:rPr>
          <w:lang w:val="es-MX"/>
        </w:rPr>
        <w:t>La SWR</w:t>
      </w:r>
      <w:r w:rsidR="0032664F" w:rsidRPr="00013DC1">
        <w:rPr>
          <w:lang w:val="es-MX"/>
        </w:rPr>
        <w:t xml:space="preserve">C no es única para un suelo, su forma y posición no son las mismas, es decir, la trayectoria de </w:t>
      </w:r>
      <w:r w:rsidR="0032664F" w:rsidRPr="00013DC1">
        <w:rPr>
          <w:lang w:val="es-MX"/>
        </w:rPr>
        <w:lastRenderedPageBreak/>
        <w:t xml:space="preserve">humedecimiento y de secado son diferentes, este fenómeno es llamado histéresis </w:t>
      </w:r>
      <w:r w:rsidR="00DB0677" w:rsidRPr="00013DC1">
        <w:rPr>
          <w:lang w:val="es-MX"/>
        </w:rPr>
        <w:t>(Meza, 2012)</w:t>
      </w:r>
      <w:r w:rsidR="0032664F" w:rsidRPr="00013DC1">
        <w:rPr>
          <w:lang w:val="es-MX"/>
        </w:rPr>
        <w:t>. Este fenómeno e</w:t>
      </w:r>
      <w:r w:rsidR="008E16EA" w:rsidRPr="00013DC1">
        <w:rPr>
          <w:lang w:val="es-MX"/>
        </w:rPr>
        <w:t xml:space="preserve">s </w:t>
      </w:r>
      <w:r w:rsidR="0032664F" w:rsidRPr="00013DC1">
        <w:rPr>
          <w:lang w:val="es-MX"/>
        </w:rPr>
        <w:t>dictado p</w:t>
      </w:r>
      <w:r w:rsidR="008E16EA" w:rsidRPr="00013DC1">
        <w:rPr>
          <w:lang w:val="es-MX"/>
        </w:rPr>
        <w:t xml:space="preserve">or la textura y la estructura del suelo, mientras mayor es el contenido de arcilla mayor es la retención de agua por un valor dado de </w:t>
      </w:r>
      <w:r w:rsidR="00DF22ED" w:rsidRPr="00013DC1">
        <w:rPr>
          <w:lang w:val="es-MX"/>
        </w:rPr>
        <w:t xml:space="preserve">succión </w:t>
      </w:r>
      <w:r w:rsidR="008E16EA" w:rsidRPr="00013DC1">
        <w:rPr>
          <w:lang w:val="es-MX"/>
        </w:rPr>
        <w:t xml:space="preserve">(ψ) y la pendiente de la curva es más suave </w:t>
      </w:r>
      <w:r w:rsidR="00DB0677" w:rsidRPr="00013DC1">
        <w:rPr>
          <w:lang w:val="es-MX"/>
        </w:rPr>
        <w:t>(Máximo, 2012)</w:t>
      </w:r>
      <w:r w:rsidR="0032664F" w:rsidRPr="00013DC1">
        <w:rPr>
          <w:lang w:val="es-MX"/>
        </w:rPr>
        <w:t>,</w:t>
      </w:r>
      <w:r w:rsidR="008E16EA" w:rsidRPr="00013DC1">
        <w:rPr>
          <w:lang w:val="es-MX"/>
        </w:rPr>
        <w:t xml:space="preserve"> </w:t>
      </w:r>
      <w:r w:rsidR="0032664F" w:rsidRPr="00013DC1">
        <w:rPr>
          <w:lang w:val="es-MX"/>
        </w:rPr>
        <w:t>e</w:t>
      </w:r>
      <w:r w:rsidR="008E16EA" w:rsidRPr="00013DC1">
        <w:rPr>
          <w:lang w:val="es-MX"/>
        </w:rPr>
        <w:t xml:space="preserve">sto se debe a </w:t>
      </w:r>
      <w:r w:rsidR="0032664F" w:rsidRPr="00013DC1">
        <w:rPr>
          <w:lang w:val="es-MX"/>
        </w:rPr>
        <w:t xml:space="preserve">su </w:t>
      </w:r>
      <w:r w:rsidR="008E16EA" w:rsidRPr="00013DC1">
        <w:rPr>
          <w:lang w:val="es-MX"/>
        </w:rPr>
        <w:t>distribución de tamaño de poros (</w:t>
      </w:r>
      <w:proofErr w:type="spellStart"/>
      <w:r w:rsidR="00CE1FF7" w:rsidRPr="00013DC1">
        <w:rPr>
          <w:lang w:val="es-MX"/>
        </w:rPr>
        <w:t>Pore</w:t>
      </w:r>
      <w:proofErr w:type="spellEnd"/>
      <w:r w:rsidR="00CE1FF7" w:rsidRPr="00013DC1">
        <w:rPr>
          <w:lang w:val="es-MX"/>
        </w:rPr>
        <w:t xml:space="preserve"> </w:t>
      </w:r>
      <w:proofErr w:type="spellStart"/>
      <w:r w:rsidR="00CE1FF7" w:rsidRPr="00013DC1">
        <w:rPr>
          <w:lang w:val="es-MX"/>
        </w:rPr>
        <w:t>Size</w:t>
      </w:r>
      <w:proofErr w:type="spellEnd"/>
      <w:r w:rsidR="00CE1FF7" w:rsidRPr="00013DC1">
        <w:rPr>
          <w:lang w:val="es-MX"/>
        </w:rPr>
        <w:t xml:space="preserve"> </w:t>
      </w:r>
      <w:proofErr w:type="spellStart"/>
      <w:r w:rsidR="00CE1FF7" w:rsidRPr="00013DC1">
        <w:rPr>
          <w:lang w:val="es-MX"/>
        </w:rPr>
        <w:t>Distribution</w:t>
      </w:r>
      <w:proofErr w:type="spellEnd"/>
      <w:r w:rsidR="008E16EA" w:rsidRPr="00013DC1">
        <w:rPr>
          <w:lang w:val="es-MX"/>
        </w:rPr>
        <w:t>)</w:t>
      </w:r>
      <w:r w:rsidR="0032664F" w:rsidRPr="00013DC1">
        <w:rPr>
          <w:lang w:val="es-MX"/>
        </w:rPr>
        <w:t>, ya que presenta gran diversidad</w:t>
      </w:r>
      <w:r w:rsidR="008E16EA" w:rsidRPr="00013DC1">
        <w:rPr>
          <w:lang w:val="es-MX"/>
        </w:rPr>
        <w:t xml:space="preserve"> </w:t>
      </w:r>
      <w:r w:rsidR="0032664F" w:rsidRPr="00013DC1">
        <w:rPr>
          <w:lang w:val="es-MX"/>
        </w:rPr>
        <w:t>de poros</w:t>
      </w:r>
      <w:r w:rsidR="008E16EA" w:rsidRPr="00013DC1">
        <w:rPr>
          <w:lang w:val="es-MX"/>
        </w:rPr>
        <w:t>. P</w:t>
      </w:r>
      <w:r w:rsidR="0032664F" w:rsidRPr="00013DC1">
        <w:rPr>
          <w:lang w:val="es-MX"/>
        </w:rPr>
        <w:t>or otro lado, p</w:t>
      </w:r>
      <w:r w:rsidR="008E16EA" w:rsidRPr="00013DC1">
        <w:rPr>
          <w:lang w:val="es-MX"/>
        </w:rPr>
        <w:t xml:space="preserve">ara los suelos arenosos las pendientes son más fuertes, </w:t>
      </w:r>
      <w:r w:rsidR="0032664F" w:rsidRPr="00013DC1">
        <w:rPr>
          <w:lang w:val="es-MX"/>
        </w:rPr>
        <w:t>debido a</w:t>
      </w:r>
      <w:r w:rsidR="008E16EA" w:rsidRPr="00013DC1">
        <w:rPr>
          <w:lang w:val="es-MX"/>
        </w:rPr>
        <w:t xml:space="preserve"> que su PSD es más homogénea.</w:t>
      </w:r>
    </w:p>
    <w:p w:rsidR="00134BCA" w:rsidRPr="00013DC1" w:rsidRDefault="00825C80" w:rsidP="005A05B6">
      <w:pPr>
        <w:ind w:firstLine="232"/>
        <w:rPr>
          <w:lang w:val="es-MX"/>
        </w:rPr>
      </w:pPr>
      <w:r w:rsidRPr="00013DC1">
        <w:rPr>
          <w:lang w:val="es-MX"/>
        </w:rPr>
        <w:t xml:space="preserve">El </w:t>
      </w:r>
      <w:r w:rsidR="008E16EA" w:rsidRPr="00013DC1">
        <w:rPr>
          <w:lang w:val="es-MX"/>
        </w:rPr>
        <w:t xml:space="preserve">fenómeno de histéresis se puede explicar por medio de un modelo poroso que </w:t>
      </w:r>
      <w:r w:rsidR="00DF22ED" w:rsidRPr="00013DC1">
        <w:rPr>
          <w:lang w:val="es-MX"/>
        </w:rPr>
        <w:t>con</w:t>
      </w:r>
      <w:r w:rsidRPr="00013DC1">
        <w:rPr>
          <w:lang w:val="es-MX"/>
        </w:rPr>
        <w:t>sidere la presencia de poros interconectados y repartidos aleatoriamente.</w:t>
      </w:r>
    </w:p>
    <w:p w:rsidR="005A05B6" w:rsidRPr="00013DC1" w:rsidRDefault="0021242B" w:rsidP="005A05B6">
      <w:pPr>
        <w:pStyle w:val="PrimerParrafo"/>
      </w:pPr>
      <w:r>
        <w:rPr>
          <w:noProof/>
          <w:lang w:eastAsia="es-MX"/>
        </w:rPr>
        <w:drawing>
          <wp:anchor distT="0" distB="0" distL="114300" distR="114300" simplePos="0" relativeHeight="251678720" behindDoc="0" locked="0" layoutInCell="1" allowOverlap="1" wp14:anchorId="40A5D1D0" wp14:editId="346EE4B1">
            <wp:simplePos x="0" y="0"/>
            <wp:positionH relativeFrom="margin">
              <wp:align>right</wp:align>
            </wp:positionH>
            <wp:positionV relativeFrom="paragraph">
              <wp:posOffset>168910</wp:posOffset>
            </wp:positionV>
            <wp:extent cx="2994660" cy="2149475"/>
            <wp:effectExtent l="0" t="0" r="0" b="3175"/>
            <wp:wrapTopAndBottom/>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4660" cy="2149475"/>
                    </a:xfrm>
                    <a:prstGeom prst="rect">
                      <a:avLst/>
                    </a:prstGeom>
                    <a:noFill/>
                  </pic:spPr>
                </pic:pic>
              </a:graphicData>
            </a:graphic>
          </wp:anchor>
        </w:drawing>
      </w:r>
      <w:r>
        <w:rPr>
          <w:noProof/>
          <w:lang w:eastAsia="es-MX"/>
        </w:rPr>
        <w:drawing>
          <wp:inline distT="0" distB="0" distL="0" distR="0" wp14:anchorId="3310503F" wp14:editId="13E34453">
            <wp:extent cx="10370185" cy="7444105"/>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70185" cy="7444105"/>
                    </a:xfrm>
                    <a:prstGeom prst="rect">
                      <a:avLst/>
                    </a:prstGeom>
                    <a:noFill/>
                  </pic:spPr>
                </pic:pic>
              </a:graphicData>
            </a:graphic>
          </wp:inline>
        </w:drawing>
      </w:r>
    </w:p>
    <w:p w:rsidR="0055724E" w:rsidRPr="00013DC1" w:rsidRDefault="0055724E" w:rsidP="005A05B6">
      <w:pPr>
        <w:pStyle w:val="PrimerParrafo"/>
      </w:pPr>
      <w:r w:rsidRPr="00013DC1">
        <w:rPr>
          <w:sz w:val="18"/>
        </w:rPr>
        <w:t xml:space="preserve">Figura 1. Fenómeno de histéresis generado por </w:t>
      </w:r>
      <w:r w:rsidR="009628C7" w:rsidRPr="00013DC1">
        <w:rPr>
          <w:sz w:val="18"/>
        </w:rPr>
        <w:t>ciclos</w:t>
      </w:r>
      <w:r w:rsidRPr="00013DC1">
        <w:rPr>
          <w:sz w:val="18"/>
        </w:rPr>
        <w:t xml:space="preserve"> de humedecimiento-secado debido a la PSD del suelo</w:t>
      </w:r>
      <w:r w:rsidRPr="00013DC1">
        <w:t>.</w:t>
      </w:r>
    </w:p>
    <w:p w:rsidR="0055724E" w:rsidRPr="00013DC1" w:rsidRDefault="0055724E" w:rsidP="005A05B6">
      <w:pPr>
        <w:pStyle w:val="PrimerParrafo"/>
      </w:pPr>
    </w:p>
    <w:p w:rsidR="008E16EA" w:rsidRPr="00013DC1" w:rsidRDefault="00825C80" w:rsidP="005A05B6">
      <w:pPr>
        <w:ind w:firstLine="232"/>
        <w:rPr>
          <w:lang w:val="es-MX"/>
        </w:rPr>
      </w:pPr>
      <w:r w:rsidRPr="00013DC1">
        <w:rPr>
          <w:lang w:val="es-MX"/>
        </w:rPr>
        <w:t>La Fig</w:t>
      </w:r>
      <w:r w:rsidR="005A05B6" w:rsidRPr="00013DC1">
        <w:rPr>
          <w:lang w:val="es-MX"/>
        </w:rPr>
        <w:t>ura</w:t>
      </w:r>
      <w:r w:rsidRPr="00013DC1">
        <w:rPr>
          <w:lang w:val="es-MX"/>
        </w:rPr>
        <w:t xml:space="preserve"> 1 muestra que a</w:t>
      </w:r>
      <w:r w:rsidR="008E16EA" w:rsidRPr="00013DC1">
        <w:rPr>
          <w:lang w:val="es-MX"/>
        </w:rPr>
        <w:t xml:space="preserve">l comienzo de un proceso de humedecimiento, se considera que todos los poros están secos, que la succión es muy grande, la cual se reduce por pasos. Los primeros poros que se saturan son los más pequeños junto con sus interconexiones (cavidades) hasta finalizar con los poros más grandes. </w:t>
      </w:r>
      <w:r w:rsidRPr="00013DC1">
        <w:rPr>
          <w:lang w:val="es-MX"/>
        </w:rPr>
        <w:t>Por otra parte, en</w:t>
      </w:r>
      <w:r w:rsidR="008E16EA" w:rsidRPr="00013DC1">
        <w:rPr>
          <w:lang w:val="es-MX"/>
        </w:rPr>
        <w:t xml:space="preserve"> un proceso de secado todos los poros están saturados y la succión aumenta por pasos. Los primeros poros que se secan son los poros grandes hasta terminar con los poros más pequeños  </w:t>
      </w:r>
      <w:r w:rsidR="00DB0677" w:rsidRPr="00013DC1">
        <w:rPr>
          <w:lang w:val="es-MX"/>
        </w:rPr>
        <w:t>(Rojas y Chávez, 2013)</w:t>
      </w:r>
      <w:r w:rsidRPr="00013DC1">
        <w:rPr>
          <w:lang w:val="es-MX"/>
        </w:rPr>
        <w:t>.</w:t>
      </w:r>
    </w:p>
    <w:p w:rsidR="00170D51" w:rsidRPr="00013DC1" w:rsidRDefault="00170D51" w:rsidP="0055724E">
      <w:pPr>
        <w:rPr>
          <w:lang w:val="es-MX"/>
        </w:rPr>
      </w:pPr>
      <w:r w:rsidRPr="00013DC1">
        <w:rPr>
          <w:lang w:val="es-MX"/>
        </w:rPr>
        <w:t xml:space="preserve">La histéresis de la SWRC es un factor importante del comportamiento del suelo que debe tomarse en cuenta durante los procesos humedecimiento-secado (Lu y </w:t>
      </w:r>
      <w:proofErr w:type="spellStart"/>
      <w:r w:rsidRPr="00013DC1">
        <w:rPr>
          <w:lang w:val="es-MX"/>
        </w:rPr>
        <w:t>Likos</w:t>
      </w:r>
      <w:proofErr w:type="spellEnd"/>
      <w:r w:rsidRPr="00013DC1">
        <w:rPr>
          <w:lang w:val="es-MX"/>
        </w:rPr>
        <w:t xml:space="preserve">, 2004) puesto que la relación esfuerzo-deformación se ve afectada por cambios en el contenido de agua de un suelo no saturado, y éstos a su vez dependen de un proceso hidrológico complicado, como la infiltración, evaporación y evapotranspiración los cuales producen ciclos de humedecimiento y secado, que provocan curvas primarias de secado (desde un estado saturado a un estado seco) y curvas primarias de humedecimiento (desde un estado seco hasta el estado saturado). Además, a partir de las curvas primarias se pueden </w:t>
      </w:r>
      <w:r w:rsidRPr="00013DC1">
        <w:rPr>
          <w:lang w:val="es-MX"/>
        </w:rPr>
        <w:lastRenderedPageBreak/>
        <w:t xml:space="preserve">generar ciclos de humedecimiento-secado primarios, secundarios, terciarios y más </w:t>
      </w:r>
      <w:r w:rsidR="00A25315" w:rsidRPr="00013DC1">
        <w:rPr>
          <w:lang w:val="es-MX"/>
        </w:rPr>
        <w:t>(ver F</w:t>
      </w:r>
      <w:r w:rsidRPr="00013DC1">
        <w:rPr>
          <w:lang w:val="es-MX"/>
        </w:rPr>
        <w:t>ig. 2) (Han-</w:t>
      </w:r>
      <w:proofErr w:type="spellStart"/>
      <w:r w:rsidRPr="00013DC1">
        <w:rPr>
          <w:lang w:val="es-MX"/>
        </w:rPr>
        <w:t>Chen</w:t>
      </w:r>
      <w:proofErr w:type="spellEnd"/>
      <w:r w:rsidRPr="00013DC1">
        <w:rPr>
          <w:lang w:val="es-MX"/>
        </w:rPr>
        <w:t xml:space="preserve"> </w:t>
      </w:r>
      <w:r w:rsidRPr="00013DC1">
        <w:rPr>
          <w:i/>
          <w:lang w:val="es-MX"/>
        </w:rPr>
        <w:t>et al.</w:t>
      </w:r>
      <w:r w:rsidRPr="00013DC1">
        <w:rPr>
          <w:lang w:val="es-MX"/>
        </w:rPr>
        <w:t>, 2005) que representan los ciclos reales a los que se expone el suelo debido al proceso hidrológico.</w:t>
      </w:r>
    </w:p>
    <w:p w:rsidR="0055724E" w:rsidRPr="00013DC1" w:rsidRDefault="00170D51" w:rsidP="00170D51">
      <w:pPr>
        <w:rPr>
          <w:lang w:val="es-MX"/>
        </w:rPr>
      </w:pPr>
      <w:r w:rsidRPr="00013DC1">
        <w:rPr>
          <w:noProof/>
          <w:lang w:val="es-MX" w:eastAsia="es-MX"/>
        </w:rPr>
        <w:drawing>
          <wp:anchor distT="0" distB="0" distL="114300" distR="114300" simplePos="0" relativeHeight="251668480" behindDoc="0" locked="0" layoutInCell="1" allowOverlap="1" wp14:anchorId="3A3E9EA5" wp14:editId="0F58FDAE">
            <wp:simplePos x="0" y="0"/>
            <wp:positionH relativeFrom="column">
              <wp:align>right</wp:align>
            </wp:positionH>
            <wp:positionV relativeFrom="paragraph">
              <wp:posOffset>5715</wp:posOffset>
            </wp:positionV>
            <wp:extent cx="2994094" cy="2102400"/>
            <wp:effectExtent l="0" t="0" r="0" b="0"/>
            <wp:wrapTopAndBottom/>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4094" cy="2102400"/>
                    </a:xfrm>
                    <a:prstGeom prst="rect">
                      <a:avLst/>
                    </a:prstGeom>
                    <a:noFill/>
                  </pic:spPr>
                </pic:pic>
              </a:graphicData>
            </a:graphic>
          </wp:anchor>
        </w:drawing>
      </w:r>
    </w:p>
    <w:p w:rsidR="0055724E" w:rsidRPr="00013DC1" w:rsidRDefault="0055724E" w:rsidP="0055724E">
      <w:pPr>
        <w:ind w:firstLine="0"/>
        <w:rPr>
          <w:lang w:val="es-MX"/>
        </w:rPr>
      </w:pPr>
      <w:r w:rsidRPr="00013DC1">
        <w:rPr>
          <w:sz w:val="18"/>
          <w:lang w:val="es-MX"/>
        </w:rPr>
        <w:t xml:space="preserve">Figura 2. Trayectorias principal, primaria, secundaria y terciaria de un suelo no saturado </w:t>
      </w:r>
      <w:r w:rsidR="00D715DE" w:rsidRPr="00013DC1">
        <w:rPr>
          <w:sz w:val="18"/>
          <w:lang w:val="es-MX"/>
        </w:rPr>
        <w:t>(Han-</w:t>
      </w:r>
      <w:proofErr w:type="spellStart"/>
      <w:r w:rsidR="00D715DE" w:rsidRPr="00013DC1">
        <w:rPr>
          <w:sz w:val="18"/>
          <w:lang w:val="es-MX"/>
        </w:rPr>
        <w:t>Chen</w:t>
      </w:r>
      <w:proofErr w:type="spellEnd"/>
      <w:r w:rsidR="00D715DE" w:rsidRPr="00013DC1">
        <w:rPr>
          <w:sz w:val="18"/>
          <w:lang w:val="es-MX"/>
        </w:rPr>
        <w:t xml:space="preserve"> </w:t>
      </w:r>
      <w:r w:rsidR="00D715DE" w:rsidRPr="00013DC1">
        <w:rPr>
          <w:i/>
          <w:sz w:val="18"/>
          <w:lang w:val="es-MX"/>
        </w:rPr>
        <w:t>et al.</w:t>
      </w:r>
      <w:r w:rsidRPr="00013DC1">
        <w:rPr>
          <w:sz w:val="18"/>
          <w:lang w:val="es-MX"/>
        </w:rPr>
        <w:t>, 2005).</w:t>
      </w:r>
    </w:p>
    <w:p w:rsidR="0055724E" w:rsidRPr="00013DC1" w:rsidRDefault="0055724E" w:rsidP="005A05B6">
      <w:pPr>
        <w:pStyle w:val="PrimerParrafo"/>
      </w:pPr>
    </w:p>
    <w:p w:rsidR="008E16EA" w:rsidRPr="00013DC1" w:rsidRDefault="008E16EA" w:rsidP="005A05B6">
      <w:pPr>
        <w:ind w:firstLine="232"/>
        <w:rPr>
          <w:rFonts w:ascii="Cambria" w:hAnsi="Cambria"/>
          <w:lang w:val="es-MX"/>
        </w:rPr>
      </w:pPr>
      <w:r w:rsidRPr="00013DC1">
        <w:rPr>
          <w:lang w:val="es-MX"/>
        </w:rPr>
        <w:t xml:space="preserve">Las mediciones en el laboratorio y el campo pueden ser lentas, engorrosas, y difícil de realizar </w:t>
      </w:r>
      <w:r w:rsidR="002B7E1C" w:rsidRPr="00013DC1">
        <w:rPr>
          <w:lang w:val="es-MX"/>
        </w:rPr>
        <w:t xml:space="preserve">(Galaviz </w:t>
      </w:r>
      <w:r w:rsidR="002B7E1C" w:rsidRPr="00013DC1">
        <w:rPr>
          <w:i/>
          <w:lang w:val="es-MX"/>
        </w:rPr>
        <w:t>et al.</w:t>
      </w:r>
      <w:r w:rsidR="002B7E1C" w:rsidRPr="00013DC1">
        <w:rPr>
          <w:lang w:val="es-MX"/>
        </w:rPr>
        <w:t>, 201</w:t>
      </w:r>
      <w:r w:rsidR="0008168E" w:rsidRPr="00013DC1">
        <w:rPr>
          <w:lang w:val="es-MX"/>
        </w:rPr>
        <w:t>3)</w:t>
      </w:r>
      <w:r w:rsidRPr="00013DC1">
        <w:rPr>
          <w:lang w:val="es-MX"/>
        </w:rPr>
        <w:t>. Por tal motivo, se han desarrollado procedimien</w:t>
      </w:r>
      <w:r w:rsidR="00DF22ED" w:rsidRPr="00013DC1">
        <w:rPr>
          <w:lang w:val="es-MX"/>
        </w:rPr>
        <w:t>tos alternos para estimar la SWR</w:t>
      </w:r>
      <w:r w:rsidRPr="00013DC1">
        <w:rPr>
          <w:lang w:val="es-MX"/>
        </w:rPr>
        <w:t xml:space="preserve">C </w:t>
      </w:r>
      <w:r w:rsidR="0008168E" w:rsidRPr="00013DC1">
        <w:rPr>
          <w:lang w:val="es-MX"/>
        </w:rPr>
        <w:t>(Rojas, 2008)</w:t>
      </w:r>
      <w:r w:rsidRPr="00013DC1">
        <w:rPr>
          <w:lang w:val="es-MX"/>
        </w:rPr>
        <w:t xml:space="preserve"> y de estos se han derivado modelos para determinar </w:t>
      </w:r>
      <w:r w:rsidR="00DF22ED" w:rsidRPr="00013DC1">
        <w:rPr>
          <w:lang w:val="es-MX"/>
        </w:rPr>
        <w:t xml:space="preserve">los ciclos secundarios de histéresis a partir de las </w:t>
      </w:r>
      <w:proofErr w:type="spellStart"/>
      <w:r w:rsidR="00DF22ED" w:rsidRPr="00013DC1">
        <w:rPr>
          <w:lang w:val="es-MX"/>
        </w:rPr>
        <w:t>SWR</w:t>
      </w:r>
      <w:r w:rsidRPr="00013DC1">
        <w:rPr>
          <w:lang w:val="es-MX"/>
        </w:rPr>
        <w:t>C</w:t>
      </w:r>
      <w:r w:rsidR="00DF22ED" w:rsidRPr="00013DC1">
        <w:rPr>
          <w:lang w:val="es-MX"/>
        </w:rPr>
        <w:t>s</w:t>
      </w:r>
      <w:proofErr w:type="spellEnd"/>
      <w:r w:rsidRPr="00013DC1">
        <w:rPr>
          <w:lang w:val="es-MX"/>
        </w:rPr>
        <w:t xml:space="preserve"> </w:t>
      </w:r>
      <w:r w:rsidR="00DF22ED" w:rsidRPr="00013DC1">
        <w:rPr>
          <w:lang w:val="es-MX"/>
        </w:rPr>
        <w:t>ajustadas</w:t>
      </w:r>
      <w:r w:rsidRPr="00013DC1">
        <w:rPr>
          <w:lang w:val="es-MX"/>
        </w:rPr>
        <w:t xml:space="preserve">. Sin embargo, en algunos casos el ajuste de la </w:t>
      </w:r>
      <w:r w:rsidR="0008168E" w:rsidRPr="00013DC1">
        <w:rPr>
          <w:lang w:val="es-MX"/>
        </w:rPr>
        <w:t>SWR</w:t>
      </w:r>
      <w:r w:rsidRPr="00013DC1">
        <w:rPr>
          <w:lang w:val="es-MX"/>
        </w:rPr>
        <w:t xml:space="preserve">C no puede realizarse de manera precisa, de tal manera que </w:t>
      </w:r>
      <w:r w:rsidR="00DF22ED" w:rsidRPr="00013DC1">
        <w:rPr>
          <w:lang w:val="es-MX"/>
        </w:rPr>
        <w:t>las curvas principales y secundarias no tengan alta correlación con los SWRC experimentales</w:t>
      </w:r>
      <w:r w:rsidRPr="00013DC1">
        <w:rPr>
          <w:lang w:val="es-MX"/>
        </w:rPr>
        <w:t>.</w:t>
      </w:r>
    </w:p>
    <w:p w:rsidR="006A020B" w:rsidRPr="00013DC1" w:rsidRDefault="0037016D" w:rsidP="00E93241">
      <w:pPr>
        <w:pStyle w:val="Ttulo2"/>
        <w:overflowPunct w:val="0"/>
        <w:autoSpaceDE w:val="0"/>
        <w:autoSpaceDN w:val="0"/>
        <w:adjustRightInd w:val="0"/>
        <w:ind w:left="0"/>
        <w:textAlignment w:val="baseline"/>
        <w:rPr>
          <w:lang w:val="es-MX"/>
        </w:rPr>
      </w:pPr>
      <w:r w:rsidRPr="00013DC1">
        <w:rPr>
          <w:lang w:val="es-MX"/>
        </w:rPr>
        <w:t>Predic</w:t>
      </w:r>
      <w:r w:rsidR="00DF22ED" w:rsidRPr="00013DC1">
        <w:rPr>
          <w:lang w:val="es-MX"/>
        </w:rPr>
        <w:t>ción de los ciclos de histéresis</w:t>
      </w:r>
    </w:p>
    <w:p w:rsidR="00826AB4" w:rsidRPr="00013DC1" w:rsidRDefault="0024377D" w:rsidP="005A05B6">
      <w:pPr>
        <w:pStyle w:val="PrimerParrafo"/>
      </w:pPr>
      <w:r w:rsidRPr="00013DC1">
        <w:t>En la actualidad existen diversos modelos acerca de la relaci</w:t>
      </w:r>
      <w:r w:rsidR="00826AB4" w:rsidRPr="00013DC1">
        <w:t>ón de la SWRC</w:t>
      </w:r>
      <w:r w:rsidRPr="00013DC1">
        <w:t xml:space="preserve">. El modelo más popular es el de van </w:t>
      </w:r>
      <w:proofErr w:type="spellStart"/>
      <w:r w:rsidRPr="00013DC1">
        <w:t>Genuchten</w:t>
      </w:r>
      <w:proofErr w:type="spellEnd"/>
      <w:r w:rsidR="00826AB4" w:rsidRPr="00013DC1">
        <w:t xml:space="preserve"> </w:t>
      </w:r>
      <w:r w:rsidR="00D715DE" w:rsidRPr="00013DC1">
        <w:t>(Han-</w:t>
      </w:r>
      <w:proofErr w:type="spellStart"/>
      <w:r w:rsidR="00D715DE" w:rsidRPr="00013DC1">
        <w:t>Chen</w:t>
      </w:r>
      <w:proofErr w:type="spellEnd"/>
      <w:r w:rsidR="00D715DE" w:rsidRPr="00013DC1">
        <w:t xml:space="preserve"> </w:t>
      </w:r>
      <w:r w:rsidR="00D715DE" w:rsidRPr="00013DC1">
        <w:rPr>
          <w:i/>
        </w:rPr>
        <w:t>et al.</w:t>
      </w:r>
      <w:r w:rsidR="00D715DE" w:rsidRPr="00013DC1">
        <w:t>, 2005)</w:t>
      </w:r>
      <w:r w:rsidRPr="00013DC1">
        <w:t xml:space="preserve">. </w:t>
      </w:r>
    </w:p>
    <w:p w:rsidR="00826AB4" w:rsidRPr="00013DC1" w:rsidRDefault="00826AB4" w:rsidP="005A05B6">
      <w:pPr>
        <w:ind w:firstLine="232"/>
        <w:rPr>
          <w:lang w:val="es-MX"/>
        </w:rPr>
      </w:pPr>
      <w:r w:rsidRPr="00013DC1">
        <w:rPr>
          <w:lang w:val="es-MX"/>
        </w:rPr>
        <w:t xml:space="preserve">Van </w:t>
      </w:r>
      <w:proofErr w:type="spellStart"/>
      <w:r w:rsidRPr="00013DC1">
        <w:rPr>
          <w:lang w:val="es-MX"/>
        </w:rPr>
        <w:t>Genuchten</w:t>
      </w:r>
      <w:proofErr w:type="spellEnd"/>
      <w:r w:rsidRPr="00013DC1">
        <w:rPr>
          <w:lang w:val="es-MX"/>
        </w:rPr>
        <w:t xml:space="preserve"> (1980) propuso una expresión (1) para ajustar la SWRC. Esta ecuación se deriva del procedimiento desarrollado por </w:t>
      </w:r>
      <w:proofErr w:type="spellStart"/>
      <w:r w:rsidR="00506E25" w:rsidRPr="00013DC1">
        <w:rPr>
          <w:lang w:val="es-MX"/>
        </w:rPr>
        <w:t>Mualem</w:t>
      </w:r>
      <w:proofErr w:type="spellEnd"/>
      <w:r w:rsidR="00506E25" w:rsidRPr="00013DC1">
        <w:rPr>
          <w:lang w:val="es-MX"/>
        </w:rPr>
        <w:t xml:space="preserve"> (198</w:t>
      </w:r>
      <w:r w:rsidRPr="00013DC1">
        <w:rPr>
          <w:lang w:val="es-MX"/>
        </w:rPr>
        <w:t>6) para modelar la SWRC.</w:t>
      </w:r>
    </w:p>
    <w:p w:rsidR="007024CA" w:rsidRPr="00013DC1" w:rsidRDefault="007024CA" w:rsidP="005A05B6">
      <w:pPr>
        <w:pStyle w:val="Ecuacion"/>
      </w:pPr>
      <w:r w:rsidRPr="00013DC1">
        <w:rPr>
          <w:position w:val="-34"/>
        </w:rPr>
        <w:object w:dxaOrig="11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40.1pt" o:ole="">
            <v:imagedata r:id="rId22" o:title=""/>
          </v:shape>
          <o:OLEObject Type="Embed" ProgID="Equation.3" ShapeID="_x0000_i1025" DrawAspect="Content" ObjectID="_1470773565" r:id="rId23"/>
        </w:object>
      </w:r>
      <w:r w:rsidRPr="00013DC1">
        <w:tab/>
        <w:t>(1)</w:t>
      </w:r>
    </w:p>
    <w:p w:rsidR="007024CA" w:rsidRPr="00013DC1" w:rsidRDefault="00DF3985" w:rsidP="005A05B6">
      <w:pPr>
        <w:pStyle w:val="Ecuacion"/>
      </w:pPr>
      <w:r w:rsidRPr="00013DC1">
        <w:rPr>
          <w:position w:val="-24"/>
        </w:rPr>
        <w:object w:dxaOrig="1719" w:dyaOrig="720">
          <v:shape id="_x0000_i1026" type="#_x0000_t75" style="width:86.25pt;height:36pt" o:ole="">
            <v:imagedata r:id="rId24" o:title=""/>
          </v:shape>
          <o:OLEObject Type="Embed" ProgID="Equation.3" ShapeID="_x0000_i1026" DrawAspect="Content" ObjectID="_1470773566" r:id="rId25"/>
        </w:object>
      </w:r>
      <w:r w:rsidR="007024CA" w:rsidRPr="00013DC1">
        <w:tab/>
        <w:t>(2)</w:t>
      </w:r>
    </w:p>
    <w:p w:rsidR="00DF3985" w:rsidRPr="00013DC1" w:rsidRDefault="00DF3985" w:rsidP="005A05B6">
      <w:pPr>
        <w:pStyle w:val="Ecuacion"/>
      </w:pPr>
      <w:r w:rsidRPr="00013DC1">
        <w:rPr>
          <w:position w:val="-24"/>
        </w:rPr>
        <w:object w:dxaOrig="960" w:dyaOrig="620">
          <v:shape id="_x0000_i1027" type="#_x0000_t75" style="width:47.55pt;height:31.9pt" o:ole="">
            <v:imagedata r:id="rId26" o:title=""/>
          </v:shape>
          <o:OLEObject Type="Embed" ProgID="Equation.3" ShapeID="_x0000_i1027" DrawAspect="Content" ObjectID="_1470773567" r:id="rId27"/>
        </w:object>
      </w:r>
      <w:r w:rsidRPr="00013DC1">
        <w:tab/>
        <w:t>(3)</w:t>
      </w:r>
    </w:p>
    <w:p w:rsidR="00826AB4" w:rsidRPr="00013DC1" w:rsidRDefault="006476FB" w:rsidP="005A05B6">
      <w:pPr>
        <w:pStyle w:val="PrimerParrafo"/>
      </w:pPr>
      <w:proofErr w:type="spellStart"/>
      <w:proofErr w:type="gramStart"/>
      <w:r w:rsidRPr="00013DC1">
        <w:t>donde</w:t>
      </w:r>
      <w:proofErr w:type="spellEnd"/>
      <w:proofErr w:type="gramEnd"/>
      <w:r w:rsidR="00826AB4" w:rsidRPr="00013DC1">
        <w:t xml:space="preserve">: </w:t>
      </w:r>
      <w:proofErr w:type="spellStart"/>
      <w:r w:rsidR="00826AB4" w:rsidRPr="00013DC1">
        <w:rPr>
          <w:i/>
        </w:rPr>
        <w:t>θ</w:t>
      </w:r>
      <w:r w:rsidR="00826AB4" w:rsidRPr="00013DC1">
        <w:rPr>
          <w:i/>
          <w:vertAlign w:val="subscript"/>
        </w:rPr>
        <w:t>s</w:t>
      </w:r>
      <w:proofErr w:type="spellEnd"/>
      <w:r w:rsidR="00826AB4" w:rsidRPr="00013DC1">
        <w:rPr>
          <w:i/>
        </w:rPr>
        <w:t xml:space="preserve"> </w:t>
      </w:r>
      <w:r w:rsidR="00826AB4" w:rsidRPr="00013DC1">
        <w:t xml:space="preserve">= </w:t>
      </w:r>
      <w:r w:rsidRPr="00013DC1">
        <w:t>contenido de agua volumétrico saturado</w:t>
      </w:r>
      <w:r w:rsidR="00826AB4" w:rsidRPr="00013DC1">
        <w:t xml:space="preserve">, </w:t>
      </w:r>
      <w:proofErr w:type="spellStart"/>
      <w:r w:rsidR="00826AB4" w:rsidRPr="00013DC1">
        <w:rPr>
          <w:i/>
        </w:rPr>
        <w:t>θ</w:t>
      </w:r>
      <w:r w:rsidR="00826AB4" w:rsidRPr="00013DC1">
        <w:rPr>
          <w:i/>
          <w:vertAlign w:val="subscript"/>
        </w:rPr>
        <w:t>r</w:t>
      </w:r>
      <w:proofErr w:type="spellEnd"/>
      <w:r w:rsidR="00826AB4" w:rsidRPr="00013DC1">
        <w:t xml:space="preserve"> = </w:t>
      </w:r>
      <w:r w:rsidRPr="00013DC1">
        <w:t>contenido de agua volumétrico residual</w:t>
      </w:r>
      <w:r w:rsidR="00826AB4" w:rsidRPr="00013DC1">
        <w:t xml:space="preserve">, </w:t>
      </w:r>
      <w:r w:rsidR="00826AB4" w:rsidRPr="00013DC1">
        <w:rPr>
          <w:i/>
        </w:rPr>
        <w:t>θ</w:t>
      </w:r>
      <w:r w:rsidR="00826AB4" w:rsidRPr="00013DC1">
        <w:t xml:space="preserve"> = </w:t>
      </w:r>
      <w:r w:rsidRPr="00013DC1">
        <w:t>contenido de agua volumétrico</w:t>
      </w:r>
      <w:r w:rsidR="00826AB4" w:rsidRPr="00013DC1">
        <w:t xml:space="preserve">, </w:t>
      </w:r>
      <w:r w:rsidR="00826AB4" w:rsidRPr="00013DC1">
        <w:rPr>
          <w:i/>
        </w:rPr>
        <w:t>α</w:t>
      </w:r>
      <w:r w:rsidR="00826AB4" w:rsidRPr="00013DC1">
        <w:t xml:space="preserve">, </w:t>
      </w:r>
      <w:r w:rsidR="00826AB4" w:rsidRPr="00013DC1">
        <w:rPr>
          <w:i/>
        </w:rPr>
        <w:t>n</w:t>
      </w:r>
      <w:r w:rsidR="00826AB4" w:rsidRPr="00013DC1">
        <w:t xml:space="preserve">, </w:t>
      </w:r>
      <w:r w:rsidRPr="00013DC1">
        <w:t>y</w:t>
      </w:r>
      <w:r w:rsidR="00826AB4" w:rsidRPr="00013DC1">
        <w:t xml:space="preserve"> </w:t>
      </w:r>
      <w:r w:rsidR="00826AB4" w:rsidRPr="00013DC1">
        <w:rPr>
          <w:i/>
        </w:rPr>
        <w:t>m</w:t>
      </w:r>
      <w:r w:rsidR="00826AB4" w:rsidRPr="00013DC1">
        <w:t xml:space="preserve"> </w:t>
      </w:r>
      <w:r w:rsidRPr="00013DC1">
        <w:t>no son parámetros determinados y</w:t>
      </w:r>
      <w:r w:rsidR="00826AB4" w:rsidRPr="00013DC1">
        <w:t xml:space="preserve"> Θ(</w:t>
      </w:r>
      <w:r w:rsidR="00826AB4" w:rsidRPr="00013DC1">
        <w:rPr>
          <w:i/>
        </w:rPr>
        <w:t>ψ</w:t>
      </w:r>
      <w:r w:rsidR="00826AB4" w:rsidRPr="00013DC1">
        <w:t xml:space="preserve">) </w:t>
      </w:r>
      <w:r w:rsidRPr="00013DC1">
        <w:t xml:space="preserve">es el grado de </w:t>
      </w:r>
      <w:r w:rsidRPr="00013DC1">
        <w:lastRenderedPageBreak/>
        <w:t>saturación que está en función de la succión</w:t>
      </w:r>
      <w:r w:rsidR="00826AB4" w:rsidRPr="00013DC1">
        <w:t>. E</w:t>
      </w:r>
      <w:r w:rsidRPr="00013DC1">
        <w:t>cuación</w:t>
      </w:r>
      <w:r w:rsidR="00826AB4" w:rsidRPr="00013DC1">
        <w:t xml:space="preserve"> (2) </w:t>
      </w:r>
      <w:r w:rsidRPr="00013DC1">
        <w:t xml:space="preserve">provee un nuevo grado de saturación efectivo </w:t>
      </w:r>
      <w:r w:rsidR="00826AB4" w:rsidRPr="00013DC1">
        <w:t xml:space="preserve">(Θ) </w:t>
      </w:r>
      <w:r w:rsidRPr="00013DC1">
        <w:t xml:space="preserve">con el cual se suaviza la </w:t>
      </w:r>
      <w:r w:rsidR="00826AB4" w:rsidRPr="00013DC1">
        <w:t xml:space="preserve">SWRC </w:t>
      </w:r>
      <w:r w:rsidRPr="00013DC1">
        <w:t>o se ajustan los datos de succión experimentales</w:t>
      </w:r>
      <w:r w:rsidR="00826AB4" w:rsidRPr="00013DC1">
        <w:t xml:space="preserve">. </w:t>
      </w:r>
      <w:r w:rsidRPr="00013DC1">
        <w:t>Este procedimiento es usualmente conocido modelado o ajuste de la SWRC</w:t>
      </w:r>
      <w:r w:rsidR="00826AB4" w:rsidRPr="00013DC1">
        <w:t>.</w:t>
      </w:r>
    </w:p>
    <w:p w:rsidR="007C676C" w:rsidRPr="00013DC1" w:rsidRDefault="000131BC" w:rsidP="00D715DE">
      <w:pPr>
        <w:rPr>
          <w:lang w:val="es-MX"/>
        </w:rPr>
      </w:pPr>
      <w:r w:rsidRPr="00013DC1">
        <w:rPr>
          <w:lang w:val="es-MX"/>
        </w:rPr>
        <w:t xml:space="preserve">Por otra parte, </w:t>
      </w:r>
      <w:r w:rsidR="00D715DE" w:rsidRPr="00013DC1">
        <w:rPr>
          <w:lang w:val="es-MX"/>
        </w:rPr>
        <w:t>Han-</w:t>
      </w:r>
      <w:proofErr w:type="spellStart"/>
      <w:r w:rsidR="00D715DE" w:rsidRPr="00013DC1">
        <w:rPr>
          <w:lang w:val="es-MX"/>
        </w:rPr>
        <w:t>Chen</w:t>
      </w:r>
      <w:proofErr w:type="spellEnd"/>
      <w:r w:rsidR="00D715DE" w:rsidRPr="00013DC1">
        <w:rPr>
          <w:lang w:val="es-MX"/>
        </w:rPr>
        <w:t xml:space="preserve"> </w:t>
      </w:r>
      <w:r w:rsidR="00D715DE" w:rsidRPr="00013DC1">
        <w:rPr>
          <w:i/>
          <w:lang w:val="es-MX"/>
        </w:rPr>
        <w:t>et al.</w:t>
      </w:r>
      <w:r w:rsidR="00D715DE" w:rsidRPr="00013DC1">
        <w:rPr>
          <w:lang w:val="es-MX"/>
        </w:rPr>
        <w:t xml:space="preserve"> (2005)</w:t>
      </w:r>
      <w:r w:rsidRPr="00013DC1">
        <w:rPr>
          <w:lang w:val="es-MX"/>
        </w:rPr>
        <w:t xml:space="preserve"> </w:t>
      </w:r>
      <w:proofErr w:type="gramStart"/>
      <w:r w:rsidR="00013AC3" w:rsidRPr="00013DC1">
        <w:rPr>
          <w:lang w:val="es-MX"/>
        </w:rPr>
        <w:t>mostraron</w:t>
      </w:r>
      <w:proofErr w:type="gramEnd"/>
      <w:r w:rsidR="00013AC3" w:rsidRPr="00013DC1">
        <w:rPr>
          <w:lang w:val="es-MX"/>
        </w:rPr>
        <w:t xml:space="preserve"> un procedimiento para modelar o predecir los ciclos secundarios de </w:t>
      </w:r>
      <w:r w:rsidR="005F191E" w:rsidRPr="00013DC1">
        <w:rPr>
          <w:lang w:val="es-MX"/>
        </w:rPr>
        <w:t>histéresis</w:t>
      </w:r>
      <w:r w:rsidR="00013AC3" w:rsidRPr="00013DC1">
        <w:rPr>
          <w:lang w:val="es-MX"/>
        </w:rPr>
        <w:t xml:space="preserve"> partiendo del modelo de </w:t>
      </w:r>
      <w:r w:rsidR="005F191E" w:rsidRPr="00013DC1">
        <w:rPr>
          <w:lang w:val="es-MX"/>
        </w:rPr>
        <w:t xml:space="preserve">propuesto por </w:t>
      </w:r>
      <w:r w:rsidR="00013AC3" w:rsidRPr="00013DC1">
        <w:rPr>
          <w:lang w:val="es-MX"/>
        </w:rPr>
        <w:t xml:space="preserve">van </w:t>
      </w:r>
      <w:proofErr w:type="spellStart"/>
      <w:r w:rsidR="00013AC3" w:rsidRPr="00013DC1">
        <w:rPr>
          <w:lang w:val="es-MX"/>
        </w:rPr>
        <w:t>Genuchten</w:t>
      </w:r>
      <w:proofErr w:type="spellEnd"/>
      <w:r w:rsidR="00013AC3" w:rsidRPr="00013DC1">
        <w:rPr>
          <w:lang w:val="es-MX"/>
        </w:rPr>
        <w:t xml:space="preserve"> (1980)</w:t>
      </w:r>
      <w:r w:rsidR="006D4EA7" w:rsidRPr="00013DC1">
        <w:rPr>
          <w:lang w:val="es-MX"/>
        </w:rPr>
        <w:t xml:space="preserve"> pr</w:t>
      </w:r>
      <w:r w:rsidR="007A0FAD" w:rsidRPr="00013DC1">
        <w:rPr>
          <w:lang w:val="es-MX"/>
        </w:rPr>
        <w:t>oveniente de</w:t>
      </w:r>
      <w:r w:rsidR="006D4EA7" w:rsidRPr="00013DC1">
        <w:rPr>
          <w:lang w:val="es-MX"/>
        </w:rPr>
        <w:t xml:space="preserve"> (2), donde los parámetros </w:t>
      </w:r>
      <w:proofErr w:type="spellStart"/>
      <w:r w:rsidR="006D4EA7" w:rsidRPr="00013DC1">
        <w:rPr>
          <w:rFonts w:cs="Arial"/>
          <w:i/>
          <w:lang w:val="es-MX"/>
        </w:rPr>
        <w:t>θ</w:t>
      </w:r>
      <w:r w:rsidR="006D4EA7" w:rsidRPr="00013DC1">
        <w:rPr>
          <w:i/>
          <w:vertAlign w:val="subscript"/>
          <w:lang w:val="es-MX"/>
        </w:rPr>
        <w:t>s</w:t>
      </w:r>
      <w:proofErr w:type="spellEnd"/>
      <w:r w:rsidR="006D4EA7" w:rsidRPr="00013DC1">
        <w:rPr>
          <w:lang w:val="es-MX"/>
        </w:rPr>
        <w:t xml:space="preserve">, </w:t>
      </w:r>
      <w:proofErr w:type="spellStart"/>
      <w:r w:rsidR="006D4EA7" w:rsidRPr="00013DC1">
        <w:rPr>
          <w:rFonts w:cs="Arial"/>
          <w:i/>
          <w:lang w:val="es-MX"/>
        </w:rPr>
        <w:t>θ</w:t>
      </w:r>
      <w:r w:rsidR="006D4EA7" w:rsidRPr="00013DC1">
        <w:rPr>
          <w:i/>
          <w:vertAlign w:val="subscript"/>
          <w:lang w:val="es-MX"/>
        </w:rPr>
        <w:t>r</w:t>
      </w:r>
      <w:proofErr w:type="spellEnd"/>
      <w:r w:rsidR="006D4EA7" w:rsidRPr="00013DC1">
        <w:rPr>
          <w:lang w:val="es-MX"/>
        </w:rPr>
        <w:t xml:space="preserve">, </w:t>
      </w:r>
      <w:r w:rsidR="006D4EA7" w:rsidRPr="00013DC1">
        <w:rPr>
          <w:rFonts w:cs="Arial"/>
          <w:i/>
          <w:lang w:val="es-MX"/>
        </w:rPr>
        <w:t>α</w:t>
      </w:r>
      <w:r w:rsidR="006D4EA7" w:rsidRPr="00013DC1">
        <w:rPr>
          <w:lang w:val="es-MX"/>
        </w:rPr>
        <w:t xml:space="preserve"> y </w:t>
      </w:r>
      <w:r w:rsidR="006D4EA7" w:rsidRPr="00013DC1">
        <w:rPr>
          <w:i/>
          <w:lang w:val="es-MX"/>
        </w:rPr>
        <w:t>n</w:t>
      </w:r>
      <w:r w:rsidR="006D4EA7" w:rsidRPr="00013DC1">
        <w:rPr>
          <w:lang w:val="es-MX"/>
        </w:rPr>
        <w:t xml:space="preserve"> son incógnitas que deben determinarse de tal manera que la curva de humedecimiento principal </w:t>
      </w:r>
      <w:proofErr w:type="spellStart"/>
      <w:r w:rsidR="006D4EA7" w:rsidRPr="00013DC1">
        <w:rPr>
          <w:rFonts w:cs="Arial"/>
          <w:i/>
          <w:lang w:val="es-MX"/>
        </w:rPr>
        <w:t>θ</w:t>
      </w:r>
      <w:r w:rsidR="006D4EA7" w:rsidRPr="00013DC1">
        <w:rPr>
          <w:i/>
          <w:vertAlign w:val="superscript"/>
          <w:lang w:val="es-MX"/>
        </w:rPr>
        <w:t>w</w:t>
      </w:r>
      <w:proofErr w:type="spellEnd"/>
      <w:r w:rsidR="006D4EA7" w:rsidRPr="00013DC1">
        <w:rPr>
          <w:lang w:val="es-MX"/>
        </w:rPr>
        <w:t>(</w:t>
      </w:r>
      <w:r w:rsidR="006D4EA7" w:rsidRPr="00013DC1">
        <w:rPr>
          <w:rFonts w:cs="Arial"/>
          <w:i/>
          <w:lang w:val="es-MX"/>
        </w:rPr>
        <w:t>ψ</w:t>
      </w:r>
      <w:r w:rsidR="006D4EA7" w:rsidRPr="00013DC1">
        <w:rPr>
          <w:lang w:val="es-MX"/>
        </w:rPr>
        <w:t>,1) se describe por los parámetros [</w:t>
      </w:r>
      <w:proofErr w:type="spellStart"/>
      <w:r w:rsidR="006D4EA7" w:rsidRPr="00013DC1">
        <w:rPr>
          <w:rFonts w:cs="Arial"/>
          <w:i/>
          <w:lang w:val="es-MX"/>
        </w:rPr>
        <w:t>θ</w:t>
      </w:r>
      <w:r w:rsidR="006D4EA7" w:rsidRPr="00013DC1">
        <w:rPr>
          <w:rFonts w:cs="Arial"/>
          <w:i/>
          <w:vertAlign w:val="subscript"/>
          <w:lang w:val="es-MX"/>
        </w:rPr>
        <w:t>s</w:t>
      </w:r>
      <w:r w:rsidR="006D4EA7" w:rsidRPr="00013DC1">
        <w:rPr>
          <w:i/>
          <w:vertAlign w:val="superscript"/>
          <w:lang w:val="es-MX"/>
        </w:rPr>
        <w:t>w</w:t>
      </w:r>
      <w:proofErr w:type="spellEnd"/>
      <w:r w:rsidR="006D4EA7" w:rsidRPr="00013DC1">
        <w:rPr>
          <w:lang w:val="es-MX"/>
        </w:rPr>
        <w:t xml:space="preserve">(1), </w:t>
      </w:r>
      <w:proofErr w:type="spellStart"/>
      <w:r w:rsidR="006D4EA7" w:rsidRPr="00013DC1">
        <w:rPr>
          <w:rFonts w:cs="Arial"/>
          <w:i/>
          <w:lang w:val="es-MX"/>
        </w:rPr>
        <w:t>θ</w:t>
      </w:r>
      <w:r w:rsidR="006D4EA7" w:rsidRPr="00013DC1">
        <w:rPr>
          <w:rFonts w:cs="Arial"/>
          <w:i/>
          <w:vertAlign w:val="subscript"/>
          <w:lang w:val="es-MX"/>
        </w:rPr>
        <w:t>r</w:t>
      </w:r>
      <w:r w:rsidR="006D4EA7" w:rsidRPr="00013DC1">
        <w:rPr>
          <w:i/>
          <w:vertAlign w:val="superscript"/>
          <w:lang w:val="es-MX"/>
        </w:rPr>
        <w:t>w</w:t>
      </w:r>
      <w:proofErr w:type="spellEnd"/>
      <w:r w:rsidR="006D4EA7" w:rsidRPr="00013DC1">
        <w:rPr>
          <w:lang w:val="es-MX"/>
        </w:rPr>
        <w:t xml:space="preserve">(1), </w:t>
      </w:r>
      <w:r w:rsidR="006D4EA7" w:rsidRPr="00013DC1">
        <w:rPr>
          <w:rFonts w:cs="Arial"/>
          <w:i/>
          <w:lang w:val="es-MX"/>
        </w:rPr>
        <w:t>α</w:t>
      </w:r>
      <w:r w:rsidR="006D4EA7" w:rsidRPr="00013DC1">
        <w:rPr>
          <w:i/>
          <w:vertAlign w:val="superscript"/>
          <w:lang w:val="es-MX"/>
        </w:rPr>
        <w:t>w</w:t>
      </w:r>
      <w:r w:rsidR="006D4EA7" w:rsidRPr="00013DC1">
        <w:rPr>
          <w:lang w:val="es-MX"/>
        </w:rPr>
        <w:t xml:space="preserve">, </w:t>
      </w:r>
      <w:proofErr w:type="spellStart"/>
      <w:r w:rsidR="006D4EA7" w:rsidRPr="00013DC1">
        <w:rPr>
          <w:i/>
          <w:lang w:val="es-MX"/>
        </w:rPr>
        <w:t>n</w:t>
      </w:r>
      <w:r w:rsidR="006D4EA7" w:rsidRPr="00013DC1">
        <w:rPr>
          <w:i/>
          <w:vertAlign w:val="superscript"/>
          <w:lang w:val="es-MX"/>
        </w:rPr>
        <w:t>w</w:t>
      </w:r>
      <w:proofErr w:type="spellEnd"/>
      <w:r w:rsidR="006D4EA7" w:rsidRPr="00013DC1">
        <w:rPr>
          <w:lang w:val="es-MX"/>
        </w:rPr>
        <w:t>]. Con el fin de eliminar el efecto de bombeo</w:t>
      </w:r>
      <w:r w:rsidR="007C676C" w:rsidRPr="00013DC1">
        <w:rPr>
          <w:lang w:val="es-MX"/>
        </w:rPr>
        <w:t xml:space="preserve">, las relaciones de </w:t>
      </w:r>
      <w:proofErr w:type="spellStart"/>
      <w:proofErr w:type="gramStart"/>
      <w:r w:rsidR="007C676C" w:rsidRPr="00013DC1">
        <w:rPr>
          <w:rFonts w:cs="Arial"/>
          <w:i/>
          <w:lang w:val="es-MX"/>
        </w:rPr>
        <w:t>θ</w:t>
      </w:r>
      <w:r w:rsidR="007C676C" w:rsidRPr="00013DC1">
        <w:rPr>
          <w:rFonts w:cs="Arial"/>
          <w:i/>
          <w:vertAlign w:val="subscript"/>
          <w:lang w:val="es-MX"/>
        </w:rPr>
        <w:t>r</w:t>
      </w:r>
      <w:r w:rsidR="007C676C" w:rsidRPr="00013DC1">
        <w:rPr>
          <w:i/>
          <w:vertAlign w:val="superscript"/>
          <w:lang w:val="es-MX"/>
        </w:rPr>
        <w:t>d</w:t>
      </w:r>
      <w:proofErr w:type="spellEnd"/>
      <w:r w:rsidR="007C676C" w:rsidRPr="00013DC1">
        <w:rPr>
          <w:lang w:val="es-MX"/>
        </w:rPr>
        <w:t>(</w:t>
      </w:r>
      <w:proofErr w:type="gramEnd"/>
      <w:r w:rsidR="007C676C" w:rsidRPr="00013DC1">
        <w:rPr>
          <w:lang w:val="es-MX"/>
        </w:rPr>
        <w:t>1)=</w:t>
      </w:r>
      <w:r w:rsidR="007C676C" w:rsidRPr="00013DC1">
        <w:rPr>
          <w:rFonts w:cs="Arial"/>
          <w:lang w:val="es-MX"/>
        </w:rPr>
        <w:t xml:space="preserve"> </w:t>
      </w:r>
      <w:proofErr w:type="spellStart"/>
      <w:r w:rsidR="007C676C" w:rsidRPr="00013DC1">
        <w:rPr>
          <w:rFonts w:cs="Arial"/>
          <w:i/>
          <w:lang w:val="es-MX"/>
        </w:rPr>
        <w:t>θ</w:t>
      </w:r>
      <w:r w:rsidR="007C676C" w:rsidRPr="00013DC1">
        <w:rPr>
          <w:rFonts w:cs="Arial"/>
          <w:i/>
          <w:vertAlign w:val="subscript"/>
          <w:lang w:val="es-MX"/>
        </w:rPr>
        <w:t>r</w:t>
      </w:r>
      <w:r w:rsidR="007C676C" w:rsidRPr="00013DC1">
        <w:rPr>
          <w:i/>
          <w:vertAlign w:val="superscript"/>
          <w:lang w:val="es-MX"/>
        </w:rPr>
        <w:t>w</w:t>
      </w:r>
      <w:proofErr w:type="spellEnd"/>
      <w:r w:rsidR="007C676C" w:rsidRPr="00013DC1">
        <w:rPr>
          <w:lang w:val="es-MX"/>
        </w:rPr>
        <w:t>(1)=</w:t>
      </w:r>
      <w:r w:rsidR="007C676C" w:rsidRPr="00013DC1">
        <w:rPr>
          <w:rFonts w:cs="Arial"/>
          <w:i/>
          <w:lang w:val="es-MX"/>
        </w:rPr>
        <w:t xml:space="preserve"> </w:t>
      </w:r>
      <w:proofErr w:type="spellStart"/>
      <w:r w:rsidR="007C676C" w:rsidRPr="00013DC1">
        <w:rPr>
          <w:rFonts w:cs="Arial"/>
          <w:i/>
          <w:lang w:val="es-MX"/>
        </w:rPr>
        <w:t>θ</w:t>
      </w:r>
      <w:r w:rsidR="007C676C" w:rsidRPr="00013DC1">
        <w:rPr>
          <w:rFonts w:cs="Arial"/>
          <w:i/>
          <w:vertAlign w:val="subscript"/>
          <w:lang w:val="es-MX"/>
        </w:rPr>
        <w:t>r</w:t>
      </w:r>
      <w:proofErr w:type="spellEnd"/>
      <w:r w:rsidR="007C676C" w:rsidRPr="00013DC1">
        <w:rPr>
          <w:rFonts w:cs="Arial"/>
          <w:lang w:val="es-MX"/>
        </w:rPr>
        <w:t xml:space="preserve"> y </w:t>
      </w:r>
      <w:proofErr w:type="spellStart"/>
      <w:r w:rsidR="007C676C" w:rsidRPr="00013DC1">
        <w:rPr>
          <w:rFonts w:cs="Arial"/>
          <w:i/>
          <w:lang w:val="es-MX"/>
        </w:rPr>
        <w:t>θ</w:t>
      </w:r>
      <w:r w:rsidR="007C676C" w:rsidRPr="00013DC1">
        <w:rPr>
          <w:rFonts w:cs="Arial"/>
          <w:i/>
          <w:vertAlign w:val="subscript"/>
          <w:lang w:val="es-MX"/>
        </w:rPr>
        <w:t>s</w:t>
      </w:r>
      <w:r w:rsidR="007C676C" w:rsidRPr="00013DC1">
        <w:rPr>
          <w:i/>
          <w:vertAlign w:val="superscript"/>
          <w:lang w:val="es-MX"/>
        </w:rPr>
        <w:t>d</w:t>
      </w:r>
      <w:proofErr w:type="spellEnd"/>
      <w:r w:rsidR="007C676C" w:rsidRPr="00013DC1">
        <w:rPr>
          <w:lang w:val="es-MX"/>
        </w:rPr>
        <w:t>(1)=</w:t>
      </w:r>
      <w:r w:rsidR="007C676C" w:rsidRPr="00013DC1">
        <w:rPr>
          <w:rFonts w:cs="Arial"/>
          <w:lang w:val="es-MX"/>
        </w:rPr>
        <w:t xml:space="preserve"> </w:t>
      </w:r>
      <w:proofErr w:type="spellStart"/>
      <w:r w:rsidR="007C676C" w:rsidRPr="00013DC1">
        <w:rPr>
          <w:rFonts w:cs="Arial"/>
          <w:i/>
          <w:lang w:val="es-MX"/>
        </w:rPr>
        <w:t>θ</w:t>
      </w:r>
      <w:r w:rsidR="007C676C" w:rsidRPr="00013DC1">
        <w:rPr>
          <w:rFonts w:cs="Arial"/>
          <w:i/>
          <w:vertAlign w:val="subscript"/>
          <w:lang w:val="es-MX"/>
        </w:rPr>
        <w:t>s</w:t>
      </w:r>
      <w:r w:rsidR="007C676C" w:rsidRPr="00013DC1">
        <w:rPr>
          <w:i/>
          <w:vertAlign w:val="superscript"/>
          <w:lang w:val="es-MX"/>
        </w:rPr>
        <w:t>w</w:t>
      </w:r>
      <w:proofErr w:type="spellEnd"/>
      <w:r w:rsidR="007C676C" w:rsidRPr="00013DC1">
        <w:rPr>
          <w:lang w:val="es-MX"/>
        </w:rPr>
        <w:t>(1)=</w:t>
      </w:r>
      <w:r w:rsidR="007C676C" w:rsidRPr="00013DC1">
        <w:rPr>
          <w:rFonts w:cs="Arial"/>
          <w:lang w:val="es-MX"/>
        </w:rPr>
        <w:t xml:space="preserve"> </w:t>
      </w:r>
      <w:proofErr w:type="spellStart"/>
      <w:r w:rsidR="007C676C" w:rsidRPr="00013DC1">
        <w:rPr>
          <w:rFonts w:cs="Arial"/>
          <w:i/>
          <w:lang w:val="es-MX"/>
        </w:rPr>
        <w:t>θ</w:t>
      </w:r>
      <w:r w:rsidR="007C676C" w:rsidRPr="00013DC1">
        <w:rPr>
          <w:rFonts w:cs="Arial"/>
          <w:i/>
          <w:vertAlign w:val="subscript"/>
          <w:lang w:val="es-MX"/>
        </w:rPr>
        <w:t>s</w:t>
      </w:r>
      <w:proofErr w:type="spellEnd"/>
      <w:r w:rsidR="007C676C" w:rsidRPr="00013DC1">
        <w:rPr>
          <w:rFonts w:cs="Arial"/>
          <w:lang w:val="es-MX"/>
        </w:rPr>
        <w:t xml:space="preserve"> se imponen para cerrar el ciclo principal de histéresis. Así, la descripción de las curvas principales de humedecimiento y secado </w:t>
      </w:r>
      <w:proofErr w:type="spellStart"/>
      <w:proofErr w:type="gramStart"/>
      <w:r w:rsidR="007C676C" w:rsidRPr="00013DC1">
        <w:rPr>
          <w:rFonts w:cs="Arial"/>
          <w:i/>
          <w:lang w:val="es-MX"/>
        </w:rPr>
        <w:t>θ</w:t>
      </w:r>
      <w:r w:rsidR="007C676C" w:rsidRPr="00013DC1">
        <w:rPr>
          <w:i/>
          <w:vertAlign w:val="superscript"/>
          <w:lang w:val="es-MX"/>
        </w:rPr>
        <w:t>w</w:t>
      </w:r>
      <w:proofErr w:type="spellEnd"/>
      <w:r w:rsidR="007C676C" w:rsidRPr="00013DC1">
        <w:rPr>
          <w:lang w:val="es-MX"/>
        </w:rPr>
        <w:t>(</w:t>
      </w:r>
      <w:proofErr w:type="gramEnd"/>
      <w:r w:rsidR="007C676C" w:rsidRPr="00013DC1">
        <w:rPr>
          <w:rFonts w:cs="Arial"/>
          <w:i/>
          <w:lang w:val="es-MX"/>
        </w:rPr>
        <w:t>ψ</w:t>
      </w:r>
      <w:r w:rsidR="007C676C" w:rsidRPr="00013DC1">
        <w:rPr>
          <w:lang w:val="es-MX"/>
        </w:rPr>
        <w:t xml:space="preserve">,1) y </w:t>
      </w:r>
      <w:proofErr w:type="spellStart"/>
      <w:r w:rsidR="007C676C" w:rsidRPr="00013DC1">
        <w:rPr>
          <w:rFonts w:cs="Arial"/>
          <w:i/>
          <w:lang w:val="es-MX"/>
        </w:rPr>
        <w:t>θ</w:t>
      </w:r>
      <w:r w:rsidR="007C676C" w:rsidRPr="00013DC1">
        <w:rPr>
          <w:i/>
          <w:vertAlign w:val="superscript"/>
          <w:lang w:val="es-MX"/>
        </w:rPr>
        <w:t>d</w:t>
      </w:r>
      <w:proofErr w:type="spellEnd"/>
      <w:r w:rsidR="007C676C" w:rsidRPr="00013DC1">
        <w:rPr>
          <w:lang w:val="es-MX"/>
        </w:rPr>
        <w:t>(</w:t>
      </w:r>
      <w:r w:rsidR="007C676C" w:rsidRPr="00013DC1">
        <w:rPr>
          <w:rFonts w:cs="Arial"/>
          <w:i/>
          <w:lang w:val="es-MX"/>
        </w:rPr>
        <w:t>ψ</w:t>
      </w:r>
      <w:r w:rsidR="007C676C" w:rsidRPr="00013DC1">
        <w:rPr>
          <w:lang w:val="es-MX"/>
        </w:rPr>
        <w:t>,1)</w:t>
      </w:r>
      <w:r w:rsidR="006D4EA7" w:rsidRPr="00013DC1">
        <w:rPr>
          <w:lang w:val="es-MX"/>
        </w:rPr>
        <w:t xml:space="preserve"> </w:t>
      </w:r>
      <w:r w:rsidR="007C676C" w:rsidRPr="00013DC1">
        <w:rPr>
          <w:lang w:val="es-MX"/>
        </w:rPr>
        <w:t>se revisa para [</w:t>
      </w:r>
      <w:proofErr w:type="spellStart"/>
      <w:r w:rsidR="007C676C" w:rsidRPr="00013DC1">
        <w:rPr>
          <w:rFonts w:cs="Arial"/>
          <w:i/>
          <w:lang w:val="es-MX"/>
        </w:rPr>
        <w:t>θ</w:t>
      </w:r>
      <w:r w:rsidR="007C676C" w:rsidRPr="00013DC1">
        <w:rPr>
          <w:rFonts w:cs="Arial"/>
          <w:i/>
          <w:vertAlign w:val="subscript"/>
          <w:lang w:val="es-MX"/>
        </w:rPr>
        <w:t>s</w:t>
      </w:r>
      <w:proofErr w:type="spellEnd"/>
      <w:r w:rsidR="007C676C" w:rsidRPr="00013DC1">
        <w:rPr>
          <w:lang w:val="es-MX"/>
        </w:rPr>
        <w:t xml:space="preserve">, </w:t>
      </w:r>
      <w:proofErr w:type="spellStart"/>
      <w:r w:rsidR="007C676C" w:rsidRPr="00013DC1">
        <w:rPr>
          <w:rFonts w:cs="Arial"/>
          <w:i/>
          <w:lang w:val="es-MX"/>
        </w:rPr>
        <w:t>θ</w:t>
      </w:r>
      <w:r w:rsidR="007C676C" w:rsidRPr="00013DC1">
        <w:rPr>
          <w:rFonts w:cs="Arial"/>
          <w:i/>
          <w:vertAlign w:val="subscript"/>
          <w:lang w:val="es-MX"/>
        </w:rPr>
        <w:t>r</w:t>
      </w:r>
      <w:proofErr w:type="spellEnd"/>
      <w:r w:rsidR="007C676C" w:rsidRPr="00013DC1">
        <w:rPr>
          <w:lang w:val="es-MX"/>
        </w:rPr>
        <w:t xml:space="preserve">, </w:t>
      </w:r>
      <w:r w:rsidR="007C676C" w:rsidRPr="00013DC1">
        <w:rPr>
          <w:rFonts w:cs="Arial"/>
          <w:i/>
          <w:lang w:val="es-MX"/>
        </w:rPr>
        <w:t>α</w:t>
      </w:r>
      <w:r w:rsidR="007C676C" w:rsidRPr="00013DC1">
        <w:rPr>
          <w:i/>
          <w:vertAlign w:val="superscript"/>
          <w:lang w:val="es-MX"/>
        </w:rPr>
        <w:t>w</w:t>
      </w:r>
      <w:r w:rsidR="007C676C" w:rsidRPr="00013DC1">
        <w:rPr>
          <w:lang w:val="es-MX"/>
        </w:rPr>
        <w:t xml:space="preserve">, </w:t>
      </w:r>
      <w:proofErr w:type="spellStart"/>
      <w:r w:rsidR="007C676C" w:rsidRPr="00013DC1">
        <w:rPr>
          <w:i/>
          <w:lang w:val="es-MX"/>
        </w:rPr>
        <w:t>n</w:t>
      </w:r>
      <w:r w:rsidR="007C676C" w:rsidRPr="00013DC1">
        <w:rPr>
          <w:i/>
          <w:vertAlign w:val="superscript"/>
          <w:lang w:val="es-MX"/>
        </w:rPr>
        <w:t>w</w:t>
      </w:r>
      <w:proofErr w:type="spellEnd"/>
      <w:r w:rsidR="007C676C" w:rsidRPr="00013DC1">
        <w:rPr>
          <w:lang w:val="es-MX"/>
        </w:rPr>
        <w:t>] y [</w:t>
      </w:r>
      <w:proofErr w:type="spellStart"/>
      <w:r w:rsidR="007C676C" w:rsidRPr="00013DC1">
        <w:rPr>
          <w:rFonts w:cs="Arial"/>
          <w:i/>
          <w:lang w:val="es-MX"/>
        </w:rPr>
        <w:t>θ</w:t>
      </w:r>
      <w:r w:rsidR="007C676C" w:rsidRPr="00013DC1">
        <w:rPr>
          <w:rFonts w:cs="Arial"/>
          <w:i/>
          <w:vertAlign w:val="subscript"/>
          <w:lang w:val="es-MX"/>
        </w:rPr>
        <w:t>s</w:t>
      </w:r>
      <w:proofErr w:type="spellEnd"/>
      <w:r w:rsidR="007C676C" w:rsidRPr="00013DC1">
        <w:rPr>
          <w:lang w:val="es-MX"/>
        </w:rPr>
        <w:t>,</w:t>
      </w:r>
      <w:r w:rsidR="007C676C" w:rsidRPr="00013DC1">
        <w:rPr>
          <w:i/>
          <w:lang w:val="es-MX"/>
        </w:rPr>
        <w:t xml:space="preserve"> </w:t>
      </w:r>
      <w:proofErr w:type="spellStart"/>
      <w:r w:rsidR="007C676C" w:rsidRPr="00013DC1">
        <w:rPr>
          <w:rFonts w:cs="Arial"/>
          <w:i/>
          <w:lang w:val="es-MX"/>
        </w:rPr>
        <w:t>θ</w:t>
      </w:r>
      <w:r w:rsidR="007C676C" w:rsidRPr="00013DC1">
        <w:rPr>
          <w:rFonts w:cs="Arial"/>
          <w:i/>
          <w:vertAlign w:val="subscript"/>
          <w:lang w:val="es-MX"/>
        </w:rPr>
        <w:t>r</w:t>
      </w:r>
      <w:proofErr w:type="spellEnd"/>
      <w:r w:rsidR="007C676C" w:rsidRPr="00013DC1">
        <w:rPr>
          <w:lang w:val="es-MX"/>
        </w:rPr>
        <w:t xml:space="preserve">, </w:t>
      </w:r>
      <w:r w:rsidR="007C676C" w:rsidRPr="00013DC1">
        <w:rPr>
          <w:rFonts w:cs="Arial"/>
          <w:i/>
          <w:lang w:val="es-MX"/>
        </w:rPr>
        <w:t>α</w:t>
      </w:r>
      <w:r w:rsidR="007C676C" w:rsidRPr="00013DC1">
        <w:rPr>
          <w:i/>
          <w:vertAlign w:val="superscript"/>
          <w:lang w:val="es-MX"/>
        </w:rPr>
        <w:t>d</w:t>
      </w:r>
      <w:r w:rsidR="007C676C" w:rsidRPr="00013DC1">
        <w:rPr>
          <w:lang w:val="es-MX"/>
        </w:rPr>
        <w:t xml:space="preserve">, </w:t>
      </w:r>
      <w:proofErr w:type="spellStart"/>
      <w:r w:rsidR="007C676C" w:rsidRPr="00013DC1">
        <w:rPr>
          <w:i/>
          <w:lang w:val="es-MX"/>
        </w:rPr>
        <w:t>n</w:t>
      </w:r>
      <w:r w:rsidR="007C676C" w:rsidRPr="00013DC1">
        <w:rPr>
          <w:i/>
          <w:vertAlign w:val="superscript"/>
          <w:lang w:val="es-MX"/>
        </w:rPr>
        <w:t>d</w:t>
      </w:r>
      <w:proofErr w:type="spellEnd"/>
      <w:r w:rsidR="007C676C" w:rsidRPr="00013DC1">
        <w:rPr>
          <w:lang w:val="es-MX"/>
        </w:rPr>
        <w:t xml:space="preserve">], respectivamente.  Adicionalmente, </w:t>
      </w:r>
      <w:r w:rsidR="007C676C" w:rsidRPr="00013DC1">
        <w:rPr>
          <w:rFonts w:cs="Arial"/>
          <w:i/>
          <w:lang w:val="es-MX"/>
        </w:rPr>
        <w:t>α</w:t>
      </w:r>
      <w:r w:rsidR="007C676C" w:rsidRPr="00013DC1">
        <w:rPr>
          <w:i/>
          <w:vertAlign w:val="superscript"/>
          <w:lang w:val="es-MX"/>
        </w:rPr>
        <w:t>w</w:t>
      </w:r>
      <w:r w:rsidR="007C676C" w:rsidRPr="00013DC1">
        <w:rPr>
          <w:lang w:val="es-MX"/>
        </w:rPr>
        <w:t xml:space="preserve">, </w:t>
      </w:r>
      <w:proofErr w:type="spellStart"/>
      <w:r w:rsidR="007C676C" w:rsidRPr="00013DC1">
        <w:rPr>
          <w:i/>
          <w:lang w:val="es-MX"/>
        </w:rPr>
        <w:t>n</w:t>
      </w:r>
      <w:r w:rsidR="007C676C" w:rsidRPr="00013DC1">
        <w:rPr>
          <w:i/>
          <w:vertAlign w:val="superscript"/>
          <w:lang w:val="es-MX"/>
        </w:rPr>
        <w:t>w</w:t>
      </w:r>
      <w:proofErr w:type="spellEnd"/>
      <w:r w:rsidR="007C676C" w:rsidRPr="00013DC1">
        <w:rPr>
          <w:lang w:val="es-MX"/>
        </w:rPr>
        <w:t xml:space="preserve"> y </w:t>
      </w:r>
      <w:r w:rsidR="007C676C" w:rsidRPr="00013DC1">
        <w:rPr>
          <w:rFonts w:cs="Arial"/>
          <w:i/>
          <w:lang w:val="es-MX"/>
        </w:rPr>
        <w:t>α</w:t>
      </w:r>
      <w:r w:rsidR="007C676C" w:rsidRPr="00013DC1">
        <w:rPr>
          <w:i/>
          <w:vertAlign w:val="superscript"/>
          <w:lang w:val="es-MX"/>
        </w:rPr>
        <w:t>d</w:t>
      </w:r>
      <w:r w:rsidR="007C676C" w:rsidRPr="00013DC1">
        <w:rPr>
          <w:lang w:val="es-MX"/>
        </w:rPr>
        <w:t xml:space="preserve">, </w:t>
      </w:r>
      <w:proofErr w:type="spellStart"/>
      <w:r w:rsidR="007C676C" w:rsidRPr="00013DC1">
        <w:rPr>
          <w:i/>
          <w:lang w:val="es-MX"/>
        </w:rPr>
        <w:t>n</w:t>
      </w:r>
      <w:r w:rsidR="007C676C" w:rsidRPr="00013DC1">
        <w:rPr>
          <w:i/>
          <w:vertAlign w:val="superscript"/>
          <w:lang w:val="es-MX"/>
        </w:rPr>
        <w:t>d</w:t>
      </w:r>
      <w:proofErr w:type="spellEnd"/>
      <w:r w:rsidR="007C676C" w:rsidRPr="00013DC1">
        <w:rPr>
          <w:lang w:val="es-MX"/>
        </w:rPr>
        <w:t xml:space="preserve"> se mantienen iguales para la descripción de diversas curvas de humedecimiento y secado.</w:t>
      </w:r>
    </w:p>
    <w:p w:rsidR="007C4680" w:rsidRPr="00013DC1" w:rsidRDefault="007C4680" w:rsidP="00D715DE">
      <w:pPr>
        <w:rPr>
          <w:lang w:val="es-MX"/>
        </w:rPr>
      </w:pPr>
      <w:r w:rsidRPr="00013DC1">
        <w:rPr>
          <w:lang w:val="es-MX"/>
        </w:rPr>
        <w:t xml:space="preserve">Entonces, el punto inicial de la trayectoria </w:t>
      </w:r>
      <w:r w:rsidR="00C03106" w:rsidRPr="00013DC1">
        <w:rPr>
          <w:lang w:val="es-MX"/>
        </w:rPr>
        <w:t xml:space="preserve">primaria </w:t>
      </w:r>
      <w:r w:rsidRPr="00013DC1">
        <w:rPr>
          <w:lang w:val="es-MX"/>
        </w:rPr>
        <w:t>es (</w:t>
      </w:r>
      <w:proofErr w:type="spellStart"/>
      <w:r w:rsidRPr="00013DC1">
        <w:rPr>
          <w:rFonts w:cs="Arial"/>
          <w:i/>
          <w:lang w:val="es-MX"/>
        </w:rPr>
        <w:t>ψ</w:t>
      </w:r>
      <w:r w:rsidRPr="00013DC1">
        <w:rPr>
          <w:i/>
          <w:vertAlign w:val="subscript"/>
          <w:lang w:val="es-MX"/>
        </w:rPr>
        <w:t>i</w:t>
      </w:r>
      <w:proofErr w:type="spellEnd"/>
      <w:r w:rsidRPr="00013DC1">
        <w:rPr>
          <w:lang w:val="es-MX"/>
        </w:rPr>
        <w:t xml:space="preserve">, </w:t>
      </w:r>
      <w:proofErr w:type="spellStart"/>
      <w:r w:rsidRPr="00013DC1">
        <w:rPr>
          <w:rFonts w:cs="Arial"/>
          <w:i/>
          <w:lang w:val="es-MX"/>
        </w:rPr>
        <w:t>θ</w:t>
      </w:r>
      <w:r w:rsidRPr="00013DC1">
        <w:rPr>
          <w:i/>
          <w:vertAlign w:val="subscript"/>
          <w:lang w:val="es-MX"/>
        </w:rPr>
        <w:t>i</w:t>
      </w:r>
      <w:proofErr w:type="spellEnd"/>
      <w:r w:rsidRPr="00013DC1">
        <w:rPr>
          <w:lang w:val="es-MX"/>
        </w:rPr>
        <w:t>)</w:t>
      </w:r>
      <w:r w:rsidR="00C03106" w:rsidRPr="00013DC1">
        <w:rPr>
          <w:lang w:val="es-MX"/>
        </w:rPr>
        <w:t xml:space="preserve"> y</w:t>
      </w:r>
      <w:r w:rsidRPr="00013DC1">
        <w:rPr>
          <w:lang w:val="es-MX"/>
        </w:rPr>
        <w:t xml:space="preserve"> requiere de </w:t>
      </w:r>
      <w:proofErr w:type="gramStart"/>
      <w:r w:rsidRPr="00013DC1">
        <w:rPr>
          <w:rFonts w:cs="Arial"/>
          <w:i/>
          <w:lang w:val="es-MX"/>
        </w:rPr>
        <w:t>θ</w:t>
      </w:r>
      <w:r w:rsidRPr="00013DC1">
        <w:rPr>
          <w:lang w:val="es-MX"/>
        </w:rPr>
        <w:t>(</w:t>
      </w:r>
      <w:proofErr w:type="gramEnd"/>
      <w:r w:rsidRPr="00013DC1">
        <w:rPr>
          <w:rFonts w:cs="Arial"/>
          <w:i/>
          <w:lang w:val="es-MX"/>
        </w:rPr>
        <w:t>ψ</w:t>
      </w:r>
      <w:r w:rsidRPr="00013DC1">
        <w:rPr>
          <w:lang w:val="es-MX"/>
        </w:rPr>
        <w:t>,2) para satisfacer:</w:t>
      </w:r>
    </w:p>
    <w:p w:rsidR="002520C7" w:rsidRPr="00013DC1" w:rsidRDefault="002520C7" w:rsidP="005A05B6">
      <w:pPr>
        <w:pStyle w:val="Ecuacion"/>
        <w:rPr>
          <w:szCs w:val="20"/>
        </w:rPr>
      </w:pPr>
      <w:r w:rsidRPr="00013DC1">
        <w:rPr>
          <w:position w:val="-34"/>
        </w:rPr>
        <w:object w:dxaOrig="2900" w:dyaOrig="820">
          <v:shape id="_x0000_i1028" type="#_x0000_t75" style="width:145.35pt;height:40.75pt" o:ole="">
            <v:imagedata r:id="rId28" o:title=""/>
          </v:shape>
          <o:OLEObject Type="Embed" ProgID="Equation.3" ShapeID="_x0000_i1028" DrawAspect="Content" ObjectID="_1470773568" r:id="rId29"/>
        </w:object>
      </w:r>
      <w:r w:rsidRPr="00013DC1">
        <w:tab/>
      </w:r>
      <w:r w:rsidRPr="00013DC1">
        <w:rPr>
          <w:szCs w:val="20"/>
        </w:rPr>
        <w:t>(4)</w:t>
      </w:r>
    </w:p>
    <w:p w:rsidR="007C4680" w:rsidRPr="00013DC1" w:rsidRDefault="007C4680" w:rsidP="00344A9E">
      <w:pPr>
        <w:ind w:firstLine="0"/>
        <w:rPr>
          <w:lang w:val="es-MX"/>
        </w:rPr>
      </w:pPr>
      <w:r w:rsidRPr="00013DC1">
        <w:rPr>
          <w:lang w:val="es-MX"/>
        </w:rPr>
        <w:t xml:space="preserve">Así, la curva primaria </w:t>
      </w:r>
      <w:proofErr w:type="gramStart"/>
      <w:r w:rsidRPr="00013DC1">
        <w:rPr>
          <w:i/>
          <w:lang w:val="es-MX"/>
        </w:rPr>
        <w:t>θ</w:t>
      </w:r>
      <w:r w:rsidRPr="00013DC1">
        <w:rPr>
          <w:lang w:val="es-MX"/>
        </w:rPr>
        <w:t>(</w:t>
      </w:r>
      <w:proofErr w:type="gramEnd"/>
      <w:r w:rsidRPr="00013DC1">
        <w:rPr>
          <w:i/>
          <w:lang w:val="es-MX"/>
        </w:rPr>
        <w:t>ψ</w:t>
      </w:r>
      <w:r w:rsidRPr="00013DC1">
        <w:rPr>
          <w:lang w:val="es-MX"/>
        </w:rPr>
        <w:t>,2) también pasa por los puntos de inversión en (</w:t>
      </w:r>
      <w:proofErr w:type="spellStart"/>
      <w:r w:rsidRPr="00013DC1">
        <w:rPr>
          <w:i/>
          <w:lang w:val="es-MX"/>
        </w:rPr>
        <w:t>ψ</w:t>
      </w:r>
      <w:r w:rsidRPr="00013DC1">
        <w:rPr>
          <w:i/>
          <w:vertAlign w:val="subscript"/>
          <w:lang w:val="es-MX"/>
        </w:rPr>
        <w:t>i</w:t>
      </w:r>
      <w:proofErr w:type="spellEnd"/>
      <w:r w:rsidRPr="00013DC1">
        <w:rPr>
          <w:lang w:val="es-MX"/>
        </w:rPr>
        <w:t xml:space="preserve">, </w:t>
      </w:r>
      <w:proofErr w:type="spellStart"/>
      <w:r w:rsidRPr="00013DC1">
        <w:rPr>
          <w:i/>
          <w:lang w:val="es-MX"/>
        </w:rPr>
        <w:t>θ</w:t>
      </w:r>
      <w:r w:rsidRPr="00013DC1">
        <w:rPr>
          <w:i/>
          <w:vertAlign w:val="subscript"/>
          <w:lang w:val="es-MX"/>
        </w:rPr>
        <w:t>i</w:t>
      </w:r>
      <w:proofErr w:type="spellEnd"/>
      <w:r w:rsidRPr="00013DC1">
        <w:rPr>
          <w:lang w:val="es-MX"/>
        </w:rPr>
        <w:t>) y (</w:t>
      </w:r>
      <w:proofErr w:type="spellStart"/>
      <w:r w:rsidRPr="00013DC1">
        <w:rPr>
          <w:i/>
          <w:lang w:val="es-MX"/>
        </w:rPr>
        <w:t>ψ</w:t>
      </w:r>
      <w:r w:rsidRPr="00013DC1">
        <w:rPr>
          <w:i/>
          <w:vertAlign w:val="subscript"/>
          <w:lang w:val="es-MX"/>
        </w:rPr>
        <w:t>f</w:t>
      </w:r>
      <w:proofErr w:type="spellEnd"/>
      <w:r w:rsidRPr="00013DC1">
        <w:rPr>
          <w:lang w:val="es-MX"/>
        </w:rPr>
        <w:t xml:space="preserve">, </w:t>
      </w:r>
      <w:proofErr w:type="spellStart"/>
      <w:r w:rsidRPr="00013DC1">
        <w:rPr>
          <w:i/>
          <w:lang w:val="es-MX"/>
        </w:rPr>
        <w:t>θ</w:t>
      </w:r>
      <w:r w:rsidRPr="00013DC1">
        <w:rPr>
          <w:i/>
          <w:vertAlign w:val="subscript"/>
          <w:lang w:val="es-MX"/>
        </w:rPr>
        <w:t>f</w:t>
      </w:r>
      <w:proofErr w:type="spellEnd"/>
      <w:r w:rsidRPr="00013DC1">
        <w:rPr>
          <w:lang w:val="es-MX"/>
        </w:rPr>
        <w:t>). Sustituyendo (</w:t>
      </w:r>
      <w:proofErr w:type="spellStart"/>
      <w:r w:rsidRPr="00013DC1">
        <w:rPr>
          <w:i/>
          <w:lang w:val="es-MX"/>
        </w:rPr>
        <w:t>ψ</w:t>
      </w:r>
      <w:r w:rsidRPr="00013DC1">
        <w:rPr>
          <w:i/>
          <w:vertAlign w:val="subscript"/>
          <w:lang w:val="es-MX"/>
        </w:rPr>
        <w:t>i</w:t>
      </w:r>
      <w:proofErr w:type="spellEnd"/>
      <w:r w:rsidRPr="00013DC1">
        <w:rPr>
          <w:lang w:val="es-MX"/>
        </w:rPr>
        <w:t xml:space="preserve">, </w:t>
      </w:r>
      <w:proofErr w:type="spellStart"/>
      <w:r w:rsidRPr="00013DC1">
        <w:rPr>
          <w:i/>
          <w:lang w:val="es-MX"/>
        </w:rPr>
        <w:t>θ</w:t>
      </w:r>
      <w:r w:rsidRPr="00013DC1">
        <w:rPr>
          <w:i/>
          <w:vertAlign w:val="subscript"/>
          <w:lang w:val="es-MX"/>
        </w:rPr>
        <w:t>i</w:t>
      </w:r>
      <w:proofErr w:type="spellEnd"/>
      <w:r w:rsidRPr="00013DC1">
        <w:rPr>
          <w:lang w:val="es-MX"/>
        </w:rPr>
        <w:t>) y (</w:t>
      </w:r>
      <w:proofErr w:type="spellStart"/>
      <w:r w:rsidRPr="00013DC1">
        <w:rPr>
          <w:i/>
          <w:lang w:val="es-MX"/>
        </w:rPr>
        <w:t>ψ</w:t>
      </w:r>
      <w:r w:rsidRPr="00013DC1">
        <w:rPr>
          <w:i/>
          <w:vertAlign w:val="subscript"/>
          <w:lang w:val="es-MX"/>
        </w:rPr>
        <w:t>f</w:t>
      </w:r>
      <w:proofErr w:type="spellEnd"/>
      <w:r w:rsidRPr="00013DC1">
        <w:rPr>
          <w:lang w:val="es-MX"/>
        </w:rPr>
        <w:t>,</w:t>
      </w:r>
      <w:r w:rsidRPr="00013DC1">
        <w:rPr>
          <w:i/>
          <w:lang w:val="es-MX"/>
        </w:rPr>
        <w:t xml:space="preserve"> </w:t>
      </w:r>
      <w:proofErr w:type="spellStart"/>
      <w:r w:rsidRPr="00013DC1">
        <w:rPr>
          <w:i/>
          <w:lang w:val="es-MX"/>
        </w:rPr>
        <w:t>θ</w:t>
      </w:r>
      <w:r w:rsidRPr="00013DC1">
        <w:rPr>
          <w:i/>
          <w:vertAlign w:val="subscript"/>
          <w:lang w:val="es-MX"/>
        </w:rPr>
        <w:t>f</w:t>
      </w:r>
      <w:proofErr w:type="spellEnd"/>
      <w:r w:rsidRPr="00013DC1">
        <w:rPr>
          <w:lang w:val="es-MX"/>
        </w:rPr>
        <w:t>) en (4) tenemos:</w:t>
      </w:r>
    </w:p>
    <w:p w:rsidR="002520C7" w:rsidRPr="00013DC1" w:rsidRDefault="00A17740" w:rsidP="005A05B6">
      <w:pPr>
        <w:pStyle w:val="Ecuacion"/>
      </w:pPr>
      <w:r w:rsidRPr="00013DC1">
        <w:rPr>
          <w:position w:val="-34"/>
        </w:rPr>
        <w:object w:dxaOrig="2920" w:dyaOrig="880">
          <v:shape id="_x0000_i1029" type="#_x0000_t75" style="width:146.7pt;height:44.15pt" o:ole="">
            <v:imagedata r:id="rId30" o:title=""/>
          </v:shape>
          <o:OLEObject Type="Embed" ProgID="Equation.3" ShapeID="_x0000_i1029" DrawAspect="Content" ObjectID="_1470773569" r:id="rId31"/>
        </w:object>
      </w:r>
      <w:r w:rsidR="002520C7" w:rsidRPr="00013DC1">
        <w:tab/>
        <w:t>(5)</w:t>
      </w:r>
    </w:p>
    <w:p w:rsidR="002520C7" w:rsidRPr="00013DC1" w:rsidRDefault="00A17740" w:rsidP="005A05B6">
      <w:pPr>
        <w:pStyle w:val="Ecuacion"/>
      </w:pPr>
      <w:r w:rsidRPr="00013DC1">
        <w:rPr>
          <w:position w:val="-36"/>
        </w:rPr>
        <w:object w:dxaOrig="3000" w:dyaOrig="940">
          <v:shape id="_x0000_i1030" type="#_x0000_t75" style="width:150.1pt;height:46.85pt" o:ole="">
            <v:imagedata r:id="rId32" o:title=""/>
          </v:shape>
          <o:OLEObject Type="Embed" ProgID="Equation.3" ShapeID="_x0000_i1030" DrawAspect="Content" ObjectID="_1470773570" r:id="rId33"/>
        </w:object>
      </w:r>
      <w:r w:rsidR="002520C7" w:rsidRPr="00013DC1">
        <w:tab/>
        <w:t>(6)</w:t>
      </w:r>
    </w:p>
    <w:p w:rsidR="007C4680" w:rsidRPr="00013DC1" w:rsidRDefault="007A0FAD" w:rsidP="007C4680">
      <w:pPr>
        <w:ind w:firstLine="0"/>
        <w:rPr>
          <w:lang w:val="es-MX"/>
        </w:rPr>
      </w:pPr>
      <w:r w:rsidRPr="00013DC1">
        <w:rPr>
          <w:lang w:val="es-MX"/>
        </w:rPr>
        <w:t>Resolviendo</w:t>
      </w:r>
      <w:r w:rsidR="00C538C8" w:rsidRPr="00013DC1">
        <w:rPr>
          <w:lang w:val="es-MX"/>
        </w:rPr>
        <w:t xml:space="preserve"> el sistema de ecuaciones de dos incógnitas formado por (5) y (6) podemos encontrar </w:t>
      </w:r>
      <w:r w:rsidRPr="00013DC1">
        <w:rPr>
          <w:lang w:val="es-MX"/>
        </w:rPr>
        <w:t xml:space="preserve"> </w:t>
      </w:r>
      <w:proofErr w:type="spellStart"/>
      <w:proofErr w:type="gramStart"/>
      <w:r w:rsidRPr="00013DC1">
        <w:rPr>
          <w:rFonts w:cs="Arial"/>
          <w:i/>
          <w:lang w:val="es-MX"/>
        </w:rPr>
        <w:t>θ</w:t>
      </w:r>
      <w:r w:rsidRPr="00013DC1">
        <w:rPr>
          <w:rFonts w:cs="Arial"/>
          <w:i/>
          <w:vertAlign w:val="subscript"/>
          <w:lang w:val="es-MX"/>
        </w:rPr>
        <w:t>s</w:t>
      </w:r>
      <w:proofErr w:type="spellEnd"/>
      <w:r w:rsidRPr="00013DC1">
        <w:rPr>
          <w:lang w:val="es-MX"/>
        </w:rPr>
        <w:t>(</w:t>
      </w:r>
      <w:proofErr w:type="gramEnd"/>
      <w:r w:rsidRPr="00013DC1">
        <w:rPr>
          <w:lang w:val="es-MX"/>
        </w:rPr>
        <w:t xml:space="preserve">2) y </w:t>
      </w:r>
      <w:proofErr w:type="spellStart"/>
      <w:r w:rsidRPr="00013DC1">
        <w:rPr>
          <w:rFonts w:cs="Arial"/>
          <w:i/>
          <w:lang w:val="es-MX"/>
        </w:rPr>
        <w:t>θ</w:t>
      </w:r>
      <w:r w:rsidRPr="00013DC1">
        <w:rPr>
          <w:rFonts w:cs="Arial"/>
          <w:i/>
          <w:vertAlign w:val="subscript"/>
          <w:lang w:val="es-MX"/>
        </w:rPr>
        <w:t>r</w:t>
      </w:r>
      <w:proofErr w:type="spellEnd"/>
      <w:r w:rsidRPr="00013DC1">
        <w:rPr>
          <w:lang w:val="es-MX"/>
        </w:rPr>
        <w:t xml:space="preserve">(2) con sus respectivos parámetros de forma </w:t>
      </w:r>
      <w:r w:rsidRPr="00013DC1">
        <w:rPr>
          <w:i/>
          <w:lang w:val="es-MX"/>
        </w:rPr>
        <w:t>α</w:t>
      </w:r>
      <w:r w:rsidRPr="00013DC1">
        <w:rPr>
          <w:lang w:val="es-MX"/>
        </w:rPr>
        <w:t xml:space="preserve">, </w:t>
      </w:r>
      <w:r w:rsidRPr="00013DC1">
        <w:rPr>
          <w:i/>
          <w:lang w:val="es-MX"/>
        </w:rPr>
        <w:t>n</w:t>
      </w:r>
      <w:r w:rsidRPr="00013DC1">
        <w:rPr>
          <w:lang w:val="es-MX"/>
        </w:rPr>
        <w:t xml:space="preserve">, y </w:t>
      </w:r>
      <w:r w:rsidRPr="00013DC1">
        <w:rPr>
          <w:i/>
          <w:lang w:val="es-MX"/>
        </w:rPr>
        <w:t>m</w:t>
      </w:r>
      <w:r w:rsidRPr="00013DC1">
        <w:rPr>
          <w:lang w:val="es-MX"/>
        </w:rPr>
        <w:t xml:space="preserve"> (humedecimiento o secado). El proceso anterior se puede aplicar de manera </w:t>
      </w:r>
      <w:r w:rsidR="00CE1FF7" w:rsidRPr="00013DC1">
        <w:rPr>
          <w:lang w:val="es-MX"/>
        </w:rPr>
        <w:t>análoga</w:t>
      </w:r>
      <w:r w:rsidRPr="00013DC1">
        <w:rPr>
          <w:lang w:val="es-MX"/>
        </w:rPr>
        <w:t xml:space="preserve"> para la </w:t>
      </w:r>
      <w:r w:rsidR="00C03106" w:rsidRPr="00013DC1">
        <w:rPr>
          <w:lang w:val="es-MX"/>
        </w:rPr>
        <w:t>i-</w:t>
      </w:r>
      <w:proofErr w:type="spellStart"/>
      <w:r w:rsidR="00C03106" w:rsidRPr="00013DC1">
        <w:rPr>
          <w:lang w:val="es-MX"/>
        </w:rPr>
        <w:t>ésima</w:t>
      </w:r>
      <w:proofErr w:type="spellEnd"/>
      <w:r w:rsidR="00C03106" w:rsidRPr="00013DC1">
        <w:rPr>
          <w:lang w:val="es-MX"/>
        </w:rPr>
        <w:t xml:space="preserve"> </w:t>
      </w:r>
      <w:r w:rsidRPr="00013DC1">
        <w:rPr>
          <w:lang w:val="es-MX"/>
        </w:rPr>
        <w:t>trayectoria</w:t>
      </w:r>
      <w:r w:rsidR="00C03106" w:rsidRPr="00013DC1">
        <w:rPr>
          <w:lang w:val="es-MX"/>
        </w:rPr>
        <w:t xml:space="preserve"> </w:t>
      </w:r>
      <w:r w:rsidR="00D715DE" w:rsidRPr="00013DC1">
        <w:rPr>
          <w:lang w:val="es-MX"/>
        </w:rPr>
        <w:t>(Han-</w:t>
      </w:r>
      <w:proofErr w:type="spellStart"/>
      <w:r w:rsidR="00D715DE" w:rsidRPr="00013DC1">
        <w:rPr>
          <w:lang w:val="es-MX"/>
        </w:rPr>
        <w:t>Chen</w:t>
      </w:r>
      <w:proofErr w:type="spellEnd"/>
      <w:r w:rsidR="00D715DE" w:rsidRPr="00013DC1">
        <w:rPr>
          <w:lang w:val="es-MX"/>
        </w:rPr>
        <w:t xml:space="preserve"> </w:t>
      </w:r>
      <w:r w:rsidR="00D715DE" w:rsidRPr="00013DC1">
        <w:rPr>
          <w:i/>
          <w:lang w:val="es-MX"/>
        </w:rPr>
        <w:t>et al.</w:t>
      </w:r>
      <w:r w:rsidR="00D715DE" w:rsidRPr="00013DC1">
        <w:rPr>
          <w:lang w:val="es-MX"/>
        </w:rPr>
        <w:t>, 2005)</w:t>
      </w:r>
      <w:r w:rsidR="00C03106" w:rsidRPr="00013DC1">
        <w:rPr>
          <w:lang w:val="es-MX"/>
        </w:rPr>
        <w:t>.</w:t>
      </w:r>
    </w:p>
    <w:p w:rsidR="0017265F" w:rsidRPr="00013DC1" w:rsidRDefault="00C03106" w:rsidP="00344A9E">
      <w:pPr>
        <w:rPr>
          <w:lang w:val="es-MX"/>
        </w:rPr>
      </w:pPr>
      <w:r w:rsidRPr="00013DC1">
        <w:rPr>
          <w:lang w:val="es-MX"/>
        </w:rPr>
        <w:t xml:space="preserve">Por otro lado, </w:t>
      </w:r>
      <w:proofErr w:type="spellStart"/>
      <w:r w:rsidRPr="00013DC1">
        <w:rPr>
          <w:lang w:val="es-MX"/>
        </w:rPr>
        <w:t>Zhou</w:t>
      </w:r>
      <w:proofErr w:type="spellEnd"/>
      <w:r w:rsidRPr="00013DC1">
        <w:rPr>
          <w:lang w:val="es-MX"/>
        </w:rPr>
        <w:t xml:space="preserve"> et al. (2012) propusieron otro modelo que se basa en el mostrado por van </w:t>
      </w:r>
      <w:proofErr w:type="spellStart"/>
      <w:r w:rsidRPr="00013DC1">
        <w:rPr>
          <w:lang w:val="es-MX"/>
        </w:rPr>
        <w:t>Genuchten</w:t>
      </w:r>
      <w:proofErr w:type="spellEnd"/>
      <w:r w:rsidRPr="00013DC1">
        <w:rPr>
          <w:lang w:val="es-MX"/>
        </w:rPr>
        <w:t xml:space="preserve"> (1980). Toman en cuenta una simple regla de exploración de frontera no lineal para describir la </w:t>
      </w:r>
      <w:r w:rsidR="00A92322" w:rsidRPr="00013DC1">
        <w:rPr>
          <w:lang w:val="es-MX"/>
        </w:rPr>
        <w:t xml:space="preserve">los ciclos de </w:t>
      </w:r>
      <w:r w:rsidRPr="00013DC1">
        <w:rPr>
          <w:lang w:val="es-MX"/>
        </w:rPr>
        <w:t xml:space="preserve">exploración </w:t>
      </w:r>
      <w:r w:rsidR="00A92322" w:rsidRPr="00013DC1">
        <w:rPr>
          <w:lang w:val="es-MX"/>
        </w:rPr>
        <w:t xml:space="preserve">(humedecimiento-secado) entre las trayectorias principales de humedecimiento-secado, es decir, las trayectorias principales se consideran las fronteras. </w:t>
      </w:r>
    </w:p>
    <w:p w:rsidR="00DF3985" w:rsidRPr="00013DC1" w:rsidRDefault="0091310C" w:rsidP="005A05B6">
      <w:pPr>
        <w:pStyle w:val="Ecuacion"/>
      </w:pPr>
      <w:r w:rsidRPr="00013DC1">
        <w:rPr>
          <w:position w:val="-38"/>
        </w:rPr>
        <w:object w:dxaOrig="1700" w:dyaOrig="999">
          <v:shape id="_x0000_i1031" type="#_x0000_t75" style="width:85.6pt;height:50.25pt" o:ole="">
            <v:imagedata r:id="rId34" o:title=""/>
          </v:shape>
          <o:OLEObject Type="Embed" ProgID="Equation.3" ShapeID="_x0000_i1031" DrawAspect="Content" ObjectID="_1470773571" r:id="rId35"/>
        </w:object>
      </w:r>
      <w:r w:rsidR="00DF3985" w:rsidRPr="00013DC1">
        <w:tab/>
        <w:t>(7)</w:t>
      </w:r>
    </w:p>
    <w:p w:rsidR="00A17740" w:rsidRPr="00013DC1" w:rsidRDefault="00EF44BB" w:rsidP="005A05B6">
      <w:pPr>
        <w:pStyle w:val="Ecuacion"/>
      </w:pPr>
      <w:r w:rsidRPr="00013DC1">
        <w:rPr>
          <w:position w:val="-38"/>
        </w:rPr>
        <w:object w:dxaOrig="3640" w:dyaOrig="999">
          <v:shape id="_x0000_i1032" type="#_x0000_t75" style="width:182.7pt;height:50.25pt" o:ole="">
            <v:imagedata r:id="rId36" o:title=""/>
          </v:shape>
          <o:OLEObject Type="Embed" ProgID="Equation.3" ShapeID="_x0000_i1032" DrawAspect="Content" ObjectID="_1470773572" r:id="rId37"/>
        </w:object>
      </w:r>
      <w:r w:rsidR="00A17740" w:rsidRPr="00013DC1">
        <w:tab/>
        <w:t>(8)</w:t>
      </w:r>
    </w:p>
    <w:p w:rsidR="007C676C" w:rsidRPr="00013DC1" w:rsidRDefault="00344A9E" w:rsidP="00344A9E">
      <w:pPr>
        <w:rPr>
          <w:lang w:val="es-MX"/>
        </w:rPr>
      </w:pPr>
      <w:r w:rsidRPr="00013DC1">
        <w:rPr>
          <w:lang w:val="es-MX"/>
        </w:rPr>
        <w:tab/>
      </w:r>
      <w:r w:rsidR="00A92322" w:rsidRPr="00013DC1">
        <w:rPr>
          <w:lang w:val="es-MX"/>
        </w:rPr>
        <w:t xml:space="preserve">Como se muestra en </w:t>
      </w:r>
      <w:r w:rsidR="00170D51" w:rsidRPr="00013DC1">
        <w:rPr>
          <w:lang w:val="es-MX"/>
        </w:rPr>
        <w:t xml:space="preserve">la </w:t>
      </w:r>
      <w:r w:rsidR="00A92322" w:rsidRPr="00013DC1">
        <w:rPr>
          <w:lang w:val="es-MX"/>
        </w:rPr>
        <w:t>Fig</w:t>
      </w:r>
      <w:r w:rsidR="00170D51" w:rsidRPr="00013DC1">
        <w:rPr>
          <w:lang w:val="es-MX"/>
        </w:rPr>
        <w:t>ura</w:t>
      </w:r>
      <w:r w:rsidR="00A92322" w:rsidRPr="00013DC1">
        <w:rPr>
          <w:lang w:val="es-MX"/>
        </w:rPr>
        <w:t xml:space="preserve"> 3, el humedecimiento</w:t>
      </w:r>
      <w:r w:rsidRPr="00013DC1">
        <w:rPr>
          <w:lang w:val="es-MX"/>
        </w:rPr>
        <w:t xml:space="preserve"> o secado</w:t>
      </w:r>
      <w:r w:rsidR="00A92322" w:rsidRPr="00013DC1">
        <w:rPr>
          <w:lang w:val="es-MX"/>
        </w:rPr>
        <w:t xml:space="preserve"> parte del punto (</w:t>
      </w:r>
      <w:proofErr w:type="spellStart"/>
      <w:r w:rsidR="00A92322" w:rsidRPr="00013DC1">
        <w:rPr>
          <w:lang w:val="es-MX"/>
        </w:rPr>
        <w:t>ψ</w:t>
      </w:r>
      <w:proofErr w:type="gramStart"/>
      <w:r w:rsidR="002174A3" w:rsidRPr="00013DC1">
        <w:rPr>
          <w:lang w:val="es-MX"/>
        </w:rPr>
        <w:t>,Se</w:t>
      </w:r>
      <w:proofErr w:type="spellEnd"/>
      <w:proofErr w:type="gramEnd"/>
      <w:r w:rsidR="00A92322" w:rsidRPr="00013DC1">
        <w:rPr>
          <w:lang w:val="es-MX"/>
        </w:rPr>
        <w:t>), el gradiente de exploraci</w:t>
      </w:r>
      <w:r w:rsidR="00B05F39" w:rsidRPr="00013DC1">
        <w:rPr>
          <w:lang w:val="es-MX"/>
        </w:rPr>
        <w:t>ón es definido por (9</w:t>
      </w:r>
      <w:r w:rsidR="00A92322" w:rsidRPr="00013DC1">
        <w:rPr>
          <w:lang w:val="es-MX"/>
        </w:rPr>
        <w:t>):</w:t>
      </w:r>
    </w:p>
    <w:p w:rsidR="00A17740" w:rsidRPr="00013DC1" w:rsidRDefault="00A17740" w:rsidP="005A05B6">
      <w:pPr>
        <w:pStyle w:val="Ecuacion"/>
      </w:pPr>
      <w:r w:rsidRPr="00013DC1">
        <w:rPr>
          <w:position w:val="-36"/>
        </w:rPr>
        <w:object w:dxaOrig="2640" w:dyaOrig="940">
          <v:shape id="_x0000_i1033" type="#_x0000_t75" style="width:132.45pt;height:46.85pt" o:ole="">
            <v:imagedata r:id="rId38" o:title=""/>
          </v:shape>
          <o:OLEObject Type="Embed" ProgID="Equation.3" ShapeID="_x0000_i1033" DrawAspect="Content" ObjectID="_1470773573" r:id="rId39"/>
        </w:object>
      </w:r>
      <w:r w:rsidRPr="00013DC1">
        <w:tab/>
        <w:t>(9)</w:t>
      </w:r>
    </w:p>
    <w:p w:rsidR="00A92322" w:rsidRPr="00013DC1" w:rsidRDefault="00B05F39" w:rsidP="005A05B6">
      <w:pPr>
        <w:pStyle w:val="PrimerParrafo"/>
      </w:pPr>
      <w:proofErr w:type="gramStart"/>
      <w:r w:rsidRPr="00013DC1">
        <w:t>con</w:t>
      </w:r>
      <w:proofErr w:type="gramEnd"/>
    </w:p>
    <w:p w:rsidR="005A05B6" w:rsidRPr="00013DC1" w:rsidRDefault="00C25B73" w:rsidP="005A05B6">
      <w:pPr>
        <w:pStyle w:val="Ecuacion"/>
      </w:pPr>
      <w:r w:rsidRPr="00013DC1">
        <w:rPr>
          <w:position w:val="-32"/>
        </w:rPr>
        <w:object w:dxaOrig="2760" w:dyaOrig="859">
          <v:shape id="_x0000_i1034" type="#_x0000_t75" style="width:137.9pt;height:43.45pt" o:ole="">
            <v:imagedata r:id="rId40" o:title=""/>
          </v:shape>
          <o:OLEObject Type="Embed" ProgID="Equation.3" ShapeID="_x0000_i1034" DrawAspect="Content" ObjectID="_1470773574" r:id="rId41"/>
        </w:object>
      </w:r>
      <w:r w:rsidR="005A05B6" w:rsidRPr="00013DC1">
        <w:tab/>
        <w:t>(10)</w:t>
      </w:r>
    </w:p>
    <w:p w:rsidR="00A92322" w:rsidRPr="00013DC1" w:rsidRDefault="002174A3" w:rsidP="005A05B6">
      <w:pPr>
        <w:ind w:firstLine="0"/>
        <w:rPr>
          <w:lang w:val="es-MX"/>
        </w:rPr>
      </w:pPr>
      <w:proofErr w:type="spellStart"/>
      <w:proofErr w:type="gramStart"/>
      <w:r w:rsidRPr="00013DC1">
        <w:rPr>
          <w:lang w:val="es-MX"/>
        </w:rPr>
        <w:t>donde</w:t>
      </w:r>
      <w:proofErr w:type="spellEnd"/>
      <w:proofErr w:type="gramEnd"/>
      <w:r w:rsidRPr="00013DC1">
        <w:rPr>
          <w:lang w:val="es-MX"/>
        </w:rPr>
        <w:t xml:space="preserve">: </w:t>
      </w:r>
      <w:r w:rsidRPr="00013DC1">
        <w:rPr>
          <w:rFonts w:cs="Arial"/>
          <w:i/>
          <w:lang w:val="es-MX"/>
        </w:rPr>
        <w:t>ψ</w:t>
      </w:r>
      <w:r w:rsidRPr="00013DC1">
        <w:rPr>
          <w:i/>
          <w:vertAlign w:val="subscript"/>
          <w:lang w:val="es-MX"/>
        </w:rPr>
        <w:t xml:space="preserve"> w</w:t>
      </w:r>
      <w:r w:rsidRPr="00013DC1">
        <w:rPr>
          <w:lang w:val="es-MX"/>
        </w:rPr>
        <w:t xml:space="preserve"> es la succión correspondiente a la frontera de humedecimiento al mismo grado de saturación efectivo del punto actual y el subíndice “s” significa exploración. El secado desde el punto (</w:t>
      </w:r>
      <w:proofErr w:type="spellStart"/>
      <w:r w:rsidRPr="00013DC1">
        <w:rPr>
          <w:rFonts w:cs="Arial"/>
          <w:i/>
          <w:lang w:val="es-MX"/>
        </w:rPr>
        <w:t>ψ</w:t>
      </w:r>
      <w:proofErr w:type="gramStart"/>
      <w:r w:rsidRPr="00013DC1">
        <w:rPr>
          <w:lang w:val="es-MX"/>
        </w:rPr>
        <w:t>,</w:t>
      </w:r>
      <w:r w:rsidRPr="00013DC1">
        <w:rPr>
          <w:i/>
          <w:lang w:val="es-MX"/>
        </w:rPr>
        <w:t>S</w:t>
      </w:r>
      <w:r w:rsidRPr="00013DC1">
        <w:rPr>
          <w:i/>
          <w:vertAlign w:val="subscript"/>
          <w:lang w:val="es-MX"/>
        </w:rPr>
        <w:t>e</w:t>
      </w:r>
      <w:proofErr w:type="spellEnd"/>
      <w:proofErr w:type="gramEnd"/>
      <w:r w:rsidRPr="00013DC1">
        <w:rPr>
          <w:lang w:val="es-MX"/>
        </w:rPr>
        <w:t>), el gradiente de exploraci</w:t>
      </w:r>
      <w:r w:rsidR="00B05F39" w:rsidRPr="00013DC1">
        <w:rPr>
          <w:lang w:val="es-MX"/>
        </w:rPr>
        <w:t>ón se define de manera similar</w:t>
      </w:r>
      <w:r w:rsidRPr="00013DC1">
        <w:rPr>
          <w:lang w:val="es-MX"/>
        </w:rPr>
        <w:t>:</w:t>
      </w:r>
    </w:p>
    <w:p w:rsidR="00A17740" w:rsidRPr="00013DC1" w:rsidRDefault="00635E77" w:rsidP="005A05B6">
      <w:pPr>
        <w:pStyle w:val="Ecuacion"/>
      </w:pPr>
      <w:r w:rsidRPr="00013DC1">
        <w:rPr>
          <w:position w:val="-36"/>
        </w:rPr>
        <w:object w:dxaOrig="2680" w:dyaOrig="940">
          <v:shape id="_x0000_i1035" type="#_x0000_t75" style="width:133.8pt;height:46.85pt" o:ole="">
            <v:imagedata r:id="rId42" o:title=""/>
          </v:shape>
          <o:OLEObject Type="Embed" ProgID="Equation.3" ShapeID="_x0000_i1035" DrawAspect="Content" ObjectID="_1470773575" r:id="rId43"/>
        </w:object>
      </w:r>
      <w:r w:rsidR="00A17740" w:rsidRPr="00013DC1">
        <w:tab/>
        <w:t>(11)</w:t>
      </w:r>
    </w:p>
    <w:p w:rsidR="002174A3" w:rsidRPr="00013DC1" w:rsidRDefault="00B05F39" w:rsidP="005A05B6">
      <w:pPr>
        <w:pStyle w:val="PrimerParrafo"/>
      </w:pPr>
      <w:proofErr w:type="gramStart"/>
      <w:r w:rsidRPr="00013DC1">
        <w:t>con</w:t>
      </w:r>
      <w:proofErr w:type="gramEnd"/>
    </w:p>
    <w:p w:rsidR="005A05B6" w:rsidRPr="00013DC1" w:rsidRDefault="00635E77" w:rsidP="005A05B6">
      <w:pPr>
        <w:pStyle w:val="Ecuacion"/>
      </w:pPr>
      <w:r w:rsidRPr="00013DC1">
        <w:rPr>
          <w:position w:val="-32"/>
        </w:rPr>
        <w:object w:dxaOrig="2700" w:dyaOrig="859">
          <v:shape id="_x0000_i1036" type="#_x0000_t75" style="width:135.15pt;height:43.45pt" o:ole="">
            <v:imagedata r:id="rId44" o:title=""/>
          </v:shape>
          <o:OLEObject Type="Embed" ProgID="Equation.3" ShapeID="_x0000_i1036" DrawAspect="Content" ObjectID="_1470773576" r:id="rId45"/>
        </w:object>
      </w:r>
      <w:r w:rsidR="005A05B6" w:rsidRPr="00013DC1">
        <w:tab/>
        <w:t>(12)</w:t>
      </w:r>
    </w:p>
    <w:p w:rsidR="00A92322" w:rsidRPr="00013DC1" w:rsidRDefault="002174A3" w:rsidP="00A92322">
      <w:pPr>
        <w:ind w:firstLine="0"/>
        <w:rPr>
          <w:lang w:val="es-MX"/>
        </w:rPr>
      </w:pPr>
      <w:proofErr w:type="spellStart"/>
      <w:proofErr w:type="gramStart"/>
      <w:r w:rsidRPr="00013DC1">
        <w:rPr>
          <w:lang w:val="es-MX"/>
        </w:rPr>
        <w:t>donde</w:t>
      </w:r>
      <w:proofErr w:type="spellEnd"/>
      <w:proofErr w:type="gramEnd"/>
      <w:r w:rsidRPr="00013DC1">
        <w:rPr>
          <w:lang w:val="es-MX"/>
        </w:rPr>
        <w:t xml:space="preserve">: </w:t>
      </w:r>
      <w:r w:rsidRPr="00013DC1">
        <w:rPr>
          <w:rFonts w:cs="Arial"/>
          <w:i/>
          <w:lang w:val="es-MX"/>
        </w:rPr>
        <w:t>ψ</w:t>
      </w:r>
      <w:r w:rsidRPr="00013DC1">
        <w:rPr>
          <w:i/>
          <w:vertAlign w:val="subscript"/>
          <w:lang w:val="es-MX"/>
        </w:rPr>
        <w:t xml:space="preserve"> d</w:t>
      </w:r>
      <w:r w:rsidRPr="00013DC1">
        <w:rPr>
          <w:lang w:val="es-MX"/>
        </w:rPr>
        <w:t xml:space="preserve"> es la succión correspondiente a la frontera de secado al mismo grado de saturación efectivo del punto actual. Aquí, b es un parámetro de ajuste (siempre positivo) </w:t>
      </w:r>
      <w:r w:rsidR="00C234F7" w:rsidRPr="00013DC1">
        <w:rPr>
          <w:lang w:val="es-MX"/>
        </w:rPr>
        <w:t>el cual ajusta el gradiente de exploración de la curva (</w:t>
      </w:r>
      <w:proofErr w:type="spellStart"/>
      <w:r w:rsidR="00C234F7" w:rsidRPr="00013DC1">
        <w:rPr>
          <w:lang w:val="es-MX"/>
        </w:rPr>
        <w:t>Zhou</w:t>
      </w:r>
      <w:proofErr w:type="spellEnd"/>
      <w:r w:rsidR="00C234F7" w:rsidRPr="00013DC1">
        <w:rPr>
          <w:lang w:val="es-MX"/>
        </w:rPr>
        <w:t xml:space="preserve"> </w:t>
      </w:r>
      <w:r w:rsidR="00C234F7" w:rsidRPr="00013DC1">
        <w:rPr>
          <w:i/>
          <w:lang w:val="es-MX"/>
        </w:rPr>
        <w:t>et al.</w:t>
      </w:r>
      <w:r w:rsidR="00C234F7" w:rsidRPr="00013DC1">
        <w:rPr>
          <w:lang w:val="es-MX"/>
        </w:rPr>
        <w:t>, 2012).</w:t>
      </w:r>
    </w:p>
    <w:p w:rsidR="000B00CA" w:rsidRPr="00013DC1" w:rsidRDefault="000B00CA" w:rsidP="00A92322">
      <w:pPr>
        <w:ind w:firstLine="0"/>
        <w:rPr>
          <w:noProof/>
          <w:lang w:val="es-MX" w:eastAsia="es-MX"/>
        </w:rPr>
      </w:pPr>
    </w:p>
    <w:p w:rsidR="001731BB" w:rsidRPr="00013DC1" w:rsidRDefault="001731BB" w:rsidP="00A92322">
      <w:pPr>
        <w:ind w:firstLine="0"/>
        <w:rPr>
          <w:noProof/>
          <w:lang w:val="es-MX" w:eastAsia="es-MX"/>
        </w:rPr>
      </w:pPr>
      <w:r w:rsidRPr="00013DC1">
        <w:rPr>
          <w:noProof/>
          <w:lang w:val="es-MX" w:eastAsia="es-MX"/>
        </w:rPr>
        <w:drawing>
          <wp:anchor distT="0" distB="0" distL="114300" distR="114300" simplePos="0" relativeHeight="251667456" behindDoc="0" locked="0" layoutInCell="1" allowOverlap="1" wp14:anchorId="2F76555A" wp14:editId="69B51A3C">
            <wp:simplePos x="0" y="0"/>
            <wp:positionH relativeFrom="margin">
              <wp:align>left</wp:align>
            </wp:positionH>
            <wp:positionV relativeFrom="paragraph">
              <wp:posOffset>180340</wp:posOffset>
            </wp:positionV>
            <wp:extent cx="2959471" cy="2102400"/>
            <wp:effectExtent l="0" t="0" r="0" b="0"/>
            <wp:wrapTopAndBottom/>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59471" cy="2102400"/>
                    </a:xfrm>
                    <a:prstGeom prst="rect">
                      <a:avLst/>
                    </a:prstGeom>
                    <a:noFill/>
                  </pic:spPr>
                </pic:pic>
              </a:graphicData>
            </a:graphic>
          </wp:anchor>
        </w:drawing>
      </w:r>
    </w:p>
    <w:p w:rsidR="000B00CA" w:rsidRPr="00013DC1" w:rsidRDefault="000B00CA" w:rsidP="00DE7822">
      <w:pPr>
        <w:tabs>
          <w:tab w:val="left" w:pos="284"/>
        </w:tabs>
        <w:ind w:firstLine="0"/>
        <w:rPr>
          <w:lang w:val="es-MX"/>
        </w:rPr>
      </w:pPr>
      <w:r w:rsidRPr="00013DC1">
        <w:rPr>
          <w:sz w:val="18"/>
          <w:lang w:val="es-MX"/>
        </w:rPr>
        <w:t>Figura 3. Curvas principales de humedecimiento-secado y la ley de exploración (</w:t>
      </w:r>
      <w:proofErr w:type="spellStart"/>
      <w:r w:rsidRPr="00013DC1">
        <w:rPr>
          <w:sz w:val="18"/>
          <w:lang w:val="es-MX"/>
        </w:rPr>
        <w:t>Zhou</w:t>
      </w:r>
      <w:proofErr w:type="spellEnd"/>
      <w:r w:rsidRPr="00013DC1">
        <w:rPr>
          <w:sz w:val="18"/>
          <w:lang w:val="es-MX"/>
        </w:rPr>
        <w:t xml:space="preserve"> </w:t>
      </w:r>
      <w:r w:rsidRPr="00013DC1">
        <w:rPr>
          <w:i/>
          <w:sz w:val="18"/>
          <w:lang w:val="es-MX"/>
        </w:rPr>
        <w:t>et al.</w:t>
      </w:r>
      <w:r w:rsidRPr="00013DC1">
        <w:rPr>
          <w:sz w:val="18"/>
          <w:lang w:val="es-MX"/>
        </w:rPr>
        <w:t>, 2012).</w:t>
      </w:r>
    </w:p>
    <w:p w:rsidR="000B00CA" w:rsidRPr="00013DC1" w:rsidRDefault="000B00CA" w:rsidP="00DE7822">
      <w:pPr>
        <w:tabs>
          <w:tab w:val="left" w:pos="284"/>
        </w:tabs>
        <w:ind w:firstLine="0"/>
        <w:rPr>
          <w:lang w:val="es-MX"/>
        </w:rPr>
      </w:pPr>
    </w:p>
    <w:p w:rsidR="0026575B" w:rsidRPr="00013DC1" w:rsidRDefault="00344A9E" w:rsidP="00DE7822">
      <w:pPr>
        <w:tabs>
          <w:tab w:val="left" w:pos="284"/>
        </w:tabs>
        <w:ind w:firstLine="0"/>
        <w:rPr>
          <w:lang w:val="es-MX"/>
        </w:rPr>
      </w:pPr>
      <w:r w:rsidRPr="00013DC1">
        <w:rPr>
          <w:lang w:val="es-MX"/>
        </w:rPr>
        <w:tab/>
      </w:r>
      <w:r w:rsidR="0026575B" w:rsidRPr="00013DC1">
        <w:rPr>
          <w:lang w:val="es-MX"/>
        </w:rPr>
        <w:t xml:space="preserve">La desventaja del uso de esto modelos es que el ajuste de la SWRC </w:t>
      </w:r>
      <w:r w:rsidR="00FE3D6F" w:rsidRPr="00013DC1">
        <w:rPr>
          <w:lang w:val="es-MX"/>
        </w:rPr>
        <w:t xml:space="preserve">generalmente </w:t>
      </w:r>
      <w:r w:rsidR="0026575B" w:rsidRPr="00013DC1">
        <w:rPr>
          <w:lang w:val="es-MX"/>
        </w:rPr>
        <w:t xml:space="preserve">posee baja correlación con la SWRC experimental. Debido a lo anterior, en este trabajo de investigación </w:t>
      </w:r>
      <w:r w:rsidR="00FE3D6F" w:rsidRPr="00013DC1">
        <w:rPr>
          <w:lang w:val="es-MX"/>
        </w:rPr>
        <w:t>los autores</w:t>
      </w:r>
      <w:r w:rsidR="0026575B" w:rsidRPr="00013DC1">
        <w:rPr>
          <w:lang w:val="es-MX"/>
        </w:rPr>
        <w:t xml:space="preserve"> propone</w:t>
      </w:r>
      <w:r w:rsidR="00FE3D6F" w:rsidRPr="00013DC1">
        <w:rPr>
          <w:lang w:val="es-MX"/>
        </w:rPr>
        <w:t>n</w:t>
      </w:r>
      <w:r w:rsidR="0026575B" w:rsidRPr="00013DC1">
        <w:rPr>
          <w:lang w:val="es-MX"/>
        </w:rPr>
        <w:t xml:space="preserve"> un proce</w:t>
      </w:r>
      <w:r w:rsidR="00C31BEE" w:rsidRPr="00013DC1">
        <w:rPr>
          <w:lang w:val="es-MX"/>
        </w:rPr>
        <w:t>di</w:t>
      </w:r>
      <w:r w:rsidR="0026575B" w:rsidRPr="00013DC1">
        <w:rPr>
          <w:lang w:val="es-MX"/>
        </w:rPr>
        <w:t xml:space="preserve">miento alterno para predecir los ciclos de </w:t>
      </w:r>
      <w:r w:rsidR="00C31BEE" w:rsidRPr="00013DC1">
        <w:rPr>
          <w:lang w:val="es-MX"/>
        </w:rPr>
        <w:t>histéresis</w:t>
      </w:r>
      <w:r w:rsidR="0026575B" w:rsidRPr="00013DC1">
        <w:rPr>
          <w:lang w:val="es-MX"/>
        </w:rPr>
        <w:t xml:space="preserve"> a través de un</w:t>
      </w:r>
      <w:r w:rsidR="00C25B73" w:rsidRPr="00013DC1">
        <w:rPr>
          <w:lang w:val="es-MX"/>
        </w:rPr>
        <w:t>a</w:t>
      </w:r>
      <w:r w:rsidR="0026575B" w:rsidRPr="00013DC1">
        <w:rPr>
          <w:lang w:val="es-MX"/>
        </w:rPr>
        <w:t xml:space="preserve"> </w:t>
      </w:r>
      <w:r w:rsidR="00C25B73" w:rsidRPr="00013DC1">
        <w:rPr>
          <w:lang w:val="es-MX"/>
        </w:rPr>
        <w:t>aproximación</w:t>
      </w:r>
      <w:r w:rsidR="0026575B" w:rsidRPr="00013DC1">
        <w:rPr>
          <w:lang w:val="es-MX"/>
        </w:rPr>
        <w:t xml:space="preserve"> </w:t>
      </w:r>
      <w:proofErr w:type="spellStart"/>
      <w:r w:rsidR="0026575B" w:rsidRPr="00013DC1">
        <w:rPr>
          <w:lang w:val="es-MX"/>
        </w:rPr>
        <w:t>polinomial</w:t>
      </w:r>
      <w:proofErr w:type="spellEnd"/>
      <w:r w:rsidR="0026575B" w:rsidRPr="00013DC1">
        <w:rPr>
          <w:lang w:val="es-MX"/>
        </w:rPr>
        <w:t xml:space="preserve"> de la SWRC que provee una correlación del 100% con la SWRC experimental</w:t>
      </w:r>
      <w:r w:rsidR="00C31BEE" w:rsidRPr="00013DC1">
        <w:rPr>
          <w:lang w:val="es-MX"/>
        </w:rPr>
        <w:t>.</w:t>
      </w:r>
    </w:p>
    <w:p w:rsidR="006A020B" w:rsidRPr="00013DC1" w:rsidRDefault="00FE3D6F" w:rsidP="00134BCA">
      <w:pPr>
        <w:pStyle w:val="Ttulo1"/>
        <w:overflowPunct w:val="0"/>
        <w:autoSpaceDE w:val="0"/>
        <w:autoSpaceDN w:val="0"/>
        <w:adjustRightInd w:val="0"/>
        <w:textAlignment w:val="baseline"/>
        <w:rPr>
          <w:caps w:val="0"/>
          <w:lang w:val="es-MX"/>
        </w:rPr>
      </w:pPr>
      <w:r w:rsidRPr="00013DC1">
        <w:rPr>
          <w:caps w:val="0"/>
          <w:lang w:val="es-MX"/>
        </w:rPr>
        <w:t>DESCRIPCI</w:t>
      </w:r>
      <w:r w:rsidRPr="00013DC1">
        <w:rPr>
          <w:rFonts w:cs="Arial"/>
          <w:caps w:val="0"/>
          <w:lang w:val="es-MX"/>
        </w:rPr>
        <w:t>Ó</w:t>
      </w:r>
      <w:r w:rsidRPr="00013DC1">
        <w:rPr>
          <w:caps w:val="0"/>
          <w:lang w:val="es-MX"/>
        </w:rPr>
        <w:t>N DEL PROCEDIMIENTO</w:t>
      </w:r>
    </w:p>
    <w:p w:rsidR="00AC7DEB" w:rsidRPr="00013DC1" w:rsidRDefault="00AC7DEB" w:rsidP="005A05B6">
      <w:pPr>
        <w:ind w:firstLine="0"/>
        <w:rPr>
          <w:rFonts w:cs="Arial"/>
          <w:lang w:val="es-MX"/>
        </w:rPr>
      </w:pPr>
      <w:r w:rsidRPr="00013DC1">
        <w:rPr>
          <w:rFonts w:cs="Arial"/>
          <w:lang w:val="es-MX"/>
        </w:rPr>
        <w:t xml:space="preserve">El problema de las edificaciones cimentadas en suelos susceptibles a cambios volumétricos importantes (expansivos y </w:t>
      </w:r>
      <w:proofErr w:type="spellStart"/>
      <w:r w:rsidRPr="00013DC1">
        <w:rPr>
          <w:rFonts w:cs="Arial"/>
          <w:lang w:val="es-MX"/>
        </w:rPr>
        <w:t>colapsables</w:t>
      </w:r>
      <w:proofErr w:type="spellEnd"/>
      <w:r w:rsidRPr="00013DC1">
        <w:rPr>
          <w:rFonts w:cs="Arial"/>
          <w:lang w:val="es-MX"/>
        </w:rPr>
        <w:t xml:space="preserve">) </w:t>
      </w:r>
      <w:r w:rsidR="0071443F" w:rsidRPr="00013DC1">
        <w:rPr>
          <w:rFonts w:cs="Arial"/>
          <w:lang w:val="es-MX"/>
        </w:rPr>
        <w:t>(</w:t>
      </w:r>
      <w:proofErr w:type="spellStart"/>
      <w:r w:rsidR="0071443F" w:rsidRPr="00013DC1">
        <w:rPr>
          <w:rFonts w:cs="Arial"/>
          <w:lang w:val="es-MX"/>
        </w:rPr>
        <w:t>Puppala</w:t>
      </w:r>
      <w:proofErr w:type="spellEnd"/>
      <w:r w:rsidR="0071443F" w:rsidRPr="00013DC1">
        <w:rPr>
          <w:rFonts w:cs="Arial"/>
          <w:lang w:val="es-MX"/>
        </w:rPr>
        <w:t xml:space="preserve"> </w:t>
      </w:r>
      <w:r w:rsidR="0071443F" w:rsidRPr="00013DC1">
        <w:rPr>
          <w:rFonts w:cs="Arial"/>
          <w:i/>
          <w:lang w:val="es-MX"/>
        </w:rPr>
        <w:t>et al.</w:t>
      </w:r>
      <w:r w:rsidR="0071443F" w:rsidRPr="00013DC1">
        <w:rPr>
          <w:rFonts w:cs="Arial"/>
          <w:lang w:val="es-MX"/>
        </w:rPr>
        <w:t>, 2013)</w:t>
      </w:r>
      <w:r w:rsidRPr="00013DC1">
        <w:rPr>
          <w:rFonts w:cs="Arial"/>
          <w:lang w:val="es-MX"/>
        </w:rPr>
        <w:t xml:space="preserve"> se debe a que en muchos casos no se toma en cuenta el comportamiento hidráulico de los suelos </w:t>
      </w:r>
      <w:r w:rsidR="0071443F" w:rsidRPr="00013DC1">
        <w:rPr>
          <w:rFonts w:cs="Arial"/>
          <w:lang w:val="es-MX"/>
        </w:rPr>
        <w:t>(</w:t>
      </w:r>
      <w:proofErr w:type="spellStart"/>
      <w:r w:rsidR="0071443F" w:rsidRPr="00013DC1">
        <w:rPr>
          <w:rFonts w:cs="Arial"/>
          <w:lang w:val="es-MX"/>
        </w:rPr>
        <w:t>Likos</w:t>
      </w:r>
      <w:proofErr w:type="spellEnd"/>
      <w:r w:rsidR="0071443F" w:rsidRPr="00013DC1">
        <w:rPr>
          <w:rFonts w:cs="Arial"/>
          <w:lang w:val="es-MX"/>
        </w:rPr>
        <w:t>, 2009)</w:t>
      </w:r>
      <w:r w:rsidRPr="00013DC1">
        <w:rPr>
          <w:rFonts w:cs="Arial"/>
          <w:lang w:val="es-MX"/>
        </w:rPr>
        <w:t xml:space="preserve"> olvidando que existe una inherente relación entre el comportamiento hidráulico y mecánico de los suelos </w:t>
      </w:r>
      <w:r w:rsidR="0071443F" w:rsidRPr="00013DC1">
        <w:rPr>
          <w:rFonts w:cs="Arial"/>
          <w:lang w:val="es-MX"/>
        </w:rPr>
        <w:t>(</w:t>
      </w:r>
      <w:proofErr w:type="spellStart"/>
      <w:r w:rsidR="0071443F" w:rsidRPr="00013DC1">
        <w:rPr>
          <w:rFonts w:cs="Arial"/>
          <w:lang w:val="es-MX"/>
        </w:rPr>
        <w:t>Zhou</w:t>
      </w:r>
      <w:proofErr w:type="spellEnd"/>
      <w:r w:rsidR="0071443F" w:rsidRPr="00013DC1">
        <w:rPr>
          <w:rFonts w:cs="Arial"/>
          <w:lang w:val="es-MX"/>
        </w:rPr>
        <w:t>, 2009)</w:t>
      </w:r>
      <w:r w:rsidRPr="00013DC1">
        <w:rPr>
          <w:rFonts w:cs="Arial"/>
          <w:lang w:val="es-MX"/>
        </w:rPr>
        <w:t>. Por ello, el estudio de los ciclos de histéresis de los suelos no saturados deformables es de gran interés ya que en estos se producen ciclos de expansión y contracción debido a los cambios en su contenido de agua. En el caso de suelos expansivos, el proceso de humedecimiento conduce a un incremento de volumen. Por otro lado, la contracción del suelo expansivo se debe a una disminución de volumen debido a la reducción de su contenido de agua. Así el suelo pasa de un estado más húmedo a uno más seco, Por lo tanto, es importante conocer las distintas trayectorias de humedecimiento y secado para evaluar la influencia de la histéresis en el comportamiento del suelo no aturado.</w:t>
      </w:r>
    </w:p>
    <w:p w:rsidR="00A750E5" w:rsidRPr="00013DC1" w:rsidRDefault="00AC7DEB" w:rsidP="005A05B6">
      <w:pPr>
        <w:ind w:firstLine="284"/>
        <w:rPr>
          <w:rFonts w:cs="Arial"/>
          <w:lang w:val="es-MX"/>
        </w:rPr>
      </w:pPr>
      <w:r w:rsidRPr="00013DC1">
        <w:rPr>
          <w:rFonts w:cs="Arial"/>
          <w:lang w:val="es-MX"/>
        </w:rPr>
        <w:t xml:space="preserve">En su fase actual, el </w:t>
      </w:r>
      <w:r w:rsidR="00BD2E4B" w:rsidRPr="00013DC1">
        <w:rPr>
          <w:rFonts w:cs="Arial"/>
          <w:lang w:val="es-MX"/>
        </w:rPr>
        <w:t>procedimiento determina los ciclos secundarios de histéresis a partir de la SWR</w:t>
      </w:r>
      <w:r w:rsidRPr="00013DC1">
        <w:rPr>
          <w:rFonts w:cs="Arial"/>
          <w:lang w:val="es-MX"/>
        </w:rPr>
        <w:t>C experimental en sus trayectorias pri</w:t>
      </w:r>
      <w:r w:rsidR="00BD2E4B" w:rsidRPr="00013DC1">
        <w:rPr>
          <w:rFonts w:cs="Arial"/>
          <w:lang w:val="es-MX"/>
        </w:rPr>
        <w:t>ncipales</w:t>
      </w:r>
      <w:r w:rsidRPr="00013DC1">
        <w:rPr>
          <w:rFonts w:cs="Arial"/>
          <w:lang w:val="es-MX"/>
        </w:rPr>
        <w:t xml:space="preserve"> de humedecimiento y secado. Sin embargo, el modelo puede extenderse fácilmente para </w:t>
      </w:r>
      <w:r w:rsidR="00D61E4F" w:rsidRPr="00013DC1">
        <w:rPr>
          <w:rFonts w:cs="Arial"/>
          <w:lang w:val="es-MX"/>
        </w:rPr>
        <w:t>estimar</w:t>
      </w:r>
      <w:r w:rsidR="00BD2E4B" w:rsidRPr="00013DC1">
        <w:rPr>
          <w:rFonts w:cs="Arial"/>
          <w:lang w:val="es-MX"/>
        </w:rPr>
        <w:t xml:space="preserve"> las propiedades hidráulicas de los suelos no saturados.</w:t>
      </w:r>
    </w:p>
    <w:p w:rsidR="00AC7DEB" w:rsidRPr="00013DC1" w:rsidRDefault="00A750E5" w:rsidP="005A05B6">
      <w:pPr>
        <w:ind w:firstLine="284"/>
        <w:rPr>
          <w:rFonts w:cs="Arial"/>
          <w:lang w:val="es-MX"/>
        </w:rPr>
      </w:pPr>
      <w:r w:rsidRPr="00013DC1">
        <w:rPr>
          <w:rFonts w:cs="Arial"/>
          <w:lang w:val="es-MX"/>
        </w:rPr>
        <w:t xml:space="preserve">El </w:t>
      </w:r>
      <w:r w:rsidR="00AC7DEB" w:rsidRPr="00013DC1">
        <w:rPr>
          <w:rFonts w:cs="Arial"/>
          <w:lang w:val="es-MX"/>
        </w:rPr>
        <w:t xml:space="preserve">procedimiento requiere como datos el número de puntos experimentales </w:t>
      </w:r>
      <w:r w:rsidRPr="00013DC1">
        <w:rPr>
          <w:rFonts w:cs="Arial"/>
          <w:lang w:val="es-MX"/>
        </w:rPr>
        <w:t>(</w:t>
      </w:r>
      <w:proofErr w:type="spellStart"/>
      <w:r w:rsidRPr="00013DC1">
        <w:rPr>
          <w:rFonts w:cs="Arial"/>
          <w:i/>
          <w:lang w:val="es-MX"/>
        </w:rPr>
        <w:t>ψ</w:t>
      </w:r>
      <w:proofErr w:type="gramStart"/>
      <w:r w:rsidRPr="00013DC1">
        <w:rPr>
          <w:rFonts w:cs="Arial"/>
          <w:lang w:val="es-MX"/>
        </w:rPr>
        <w:t>,</w:t>
      </w:r>
      <w:r w:rsidRPr="00013DC1">
        <w:rPr>
          <w:rFonts w:cs="Arial"/>
          <w:i/>
          <w:lang w:val="es-MX"/>
        </w:rPr>
        <w:t>θ</w:t>
      </w:r>
      <w:proofErr w:type="spellEnd"/>
      <w:proofErr w:type="gramEnd"/>
      <w:r w:rsidRPr="00013DC1">
        <w:rPr>
          <w:rFonts w:cs="Arial"/>
          <w:lang w:val="es-MX"/>
        </w:rPr>
        <w:t xml:space="preserve">) de la SWRC </w:t>
      </w:r>
      <w:r w:rsidR="00AC7DEB" w:rsidRPr="00013DC1">
        <w:rPr>
          <w:rFonts w:cs="Arial"/>
          <w:lang w:val="es-MX"/>
        </w:rPr>
        <w:t>que se ingresaran</w:t>
      </w:r>
      <w:r w:rsidRPr="00013DC1">
        <w:rPr>
          <w:rFonts w:cs="Arial"/>
          <w:lang w:val="es-MX"/>
        </w:rPr>
        <w:t>, de</w:t>
      </w:r>
      <w:r w:rsidR="00AC7DEB" w:rsidRPr="00013DC1">
        <w:rPr>
          <w:rFonts w:cs="Arial"/>
          <w:lang w:val="es-MX"/>
        </w:rPr>
        <w:t xml:space="preserve"> ambas trayectorias</w:t>
      </w:r>
      <w:r w:rsidRPr="00013DC1">
        <w:rPr>
          <w:rFonts w:cs="Arial"/>
          <w:lang w:val="es-MX"/>
        </w:rPr>
        <w:t xml:space="preserve"> principales;</w:t>
      </w:r>
      <w:r w:rsidR="00AC7DEB" w:rsidRPr="00013DC1">
        <w:rPr>
          <w:rFonts w:cs="Arial"/>
          <w:lang w:val="es-MX"/>
        </w:rPr>
        <w:t xml:space="preserve"> </w:t>
      </w:r>
      <w:r w:rsidRPr="00013DC1">
        <w:rPr>
          <w:rFonts w:cs="Arial"/>
          <w:lang w:val="es-MX"/>
        </w:rPr>
        <w:t>los contenidos de agua s</w:t>
      </w:r>
      <w:r w:rsidR="00AC7DEB" w:rsidRPr="00013DC1">
        <w:rPr>
          <w:rFonts w:cs="Arial"/>
          <w:lang w:val="es-MX"/>
        </w:rPr>
        <w:t>aturada (</w:t>
      </w:r>
      <w:r w:rsidR="00AC7DEB" w:rsidRPr="00013DC1">
        <w:rPr>
          <w:rFonts w:cs="Arial"/>
          <w:i/>
        </w:rPr>
        <w:t>θ</w:t>
      </w:r>
      <w:r w:rsidR="00AC7DEB" w:rsidRPr="00013DC1">
        <w:rPr>
          <w:rFonts w:cs="Arial"/>
          <w:i/>
          <w:vertAlign w:val="subscript"/>
          <w:lang w:val="es-MX"/>
        </w:rPr>
        <w:t>s</w:t>
      </w:r>
      <w:r w:rsidRPr="00013DC1">
        <w:rPr>
          <w:rFonts w:cs="Arial"/>
          <w:lang w:val="es-MX"/>
        </w:rPr>
        <w:t>)</w:t>
      </w:r>
      <w:r w:rsidR="00AC7DEB" w:rsidRPr="00013DC1">
        <w:rPr>
          <w:rFonts w:cs="Arial"/>
          <w:lang w:val="es-MX"/>
        </w:rPr>
        <w:t xml:space="preserve"> </w:t>
      </w:r>
      <w:r w:rsidRPr="00013DC1">
        <w:rPr>
          <w:rFonts w:cs="Arial"/>
          <w:lang w:val="es-MX"/>
        </w:rPr>
        <w:t>y res</w:t>
      </w:r>
      <w:r w:rsidR="00AC7DEB" w:rsidRPr="00013DC1">
        <w:rPr>
          <w:rFonts w:cs="Arial"/>
          <w:lang w:val="es-MX"/>
        </w:rPr>
        <w:t>idual (</w:t>
      </w:r>
      <w:r w:rsidR="00AC7DEB" w:rsidRPr="00013DC1">
        <w:rPr>
          <w:rFonts w:cs="Arial"/>
          <w:i/>
        </w:rPr>
        <w:t>θ</w:t>
      </w:r>
      <w:r w:rsidR="00AC7DEB" w:rsidRPr="00013DC1">
        <w:rPr>
          <w:rFonts w:cs="Arial"/>
          <w:i/>
          <w:vertAlign w:val="subscript"/>
          <w:lang w:val="es-MX"/>
        </w:rPr>
        <w:t>r</w:t>
      </w:r>
      <w:r w:rsidR="00AC7DEB" w:rsidRPr="00013DC1">
        <w:rPr>
          <w:rFonts w:cs="Arial"/>
          <w:lang w:val="es-MX"/>
        </w:rPr>
        <w:t>)</w:t>
      </w:r>
      <w:r w:rsidRPr="00013DC1">
        <w:rPr>
          <w:rFonts w:cs="Arial"/>
          <w:lang w:val="es-MX"/>
        </w:rPr>
        <w:t xml:space="preserve"> (por practicidad en ambas trayectorias son iguales)</w:t>
      </w:r>
      <w:r w:rsidR="00AC7DEB" w:rsidRPr="00013DC1">
        <w:rPr>
          <w:rFonts w:cs="Arial"/>
          <w:lang w:val="es-MX"/>
        </w:rPr>
        <w:t xml:space="preserve">. Con estos datos, es posible </w:t>
      </w:r>
      <w:r w:rsidRPr="00013DC1">
        <w:rPr>
          <w:rFonts w:cs="Arial"/>
          <w:lang w:val="es-MX"/>
        </w:rPr>
        <w:t xml:space="preserve">construir la SWRC experimental </w:t>
      </w:r>
      <w:r w:rsidR="00AC7DEB" w:rsidRPr="00013DC1">
        <w:rPr>
          <w:rFonts w:cs="Arial"/>
          <w:lang w:val="es-MX"/>
        </w:rPr>
        <w:t>en las trayectorias de humedecimiento y secado</w:t>
      </w:r>
      <w:r w:rsidRPr="00013DC1">
        <w:rPr>
          <w:rFonts w:cs="Arial"/>
          <w:lang w:val="es-MX"/>
        </w:rPr>
        <w:t xml:space="preserve"> principal</w:t>
      </w:r>
      <w:r w:rsidR="00AC7DEB" w:rsidRPr="00013DC1">
        <w:rPr>
          <w:rFonts w:cs="Arial"/>
          <w:lang w:val="es-MX"/>
        </w:rPr>
        <w:t>. El procedimiento se realiza en tres etapas.</w:t>
      </w:r>
    </w:p>
    <w:p w:rsidR="00AC7DEB" w:rsidRPr="00013DC1" w:rsidRDefault="00AC7DEB" w:rsidP="005A05B6">
      <w:pPr>
        <w:ind w:firstLine="284"/>
        <w:rPr>
          <w:rFonts w:cs="Arial"/>
          <w:lang w:val="es-MX"/>
        </w:rPr>
      </w:pPr>
      <w:r w:rsidRPr="00013DC1">
        <w:rPr>
          <w:rFonts w:cs="Arial"/>
          <w:lang w:val="es-MX"/>
        </w:rPr>
        <w:t xml:space="preserve">Para la primera etapa se requiere ingresar la cantidad de puntos que serán introducidos en ambas trayectorias. Seguidamente se ingresan los puntos </w:t>
      </w:r>
      <w:r w:rsidR="005071C5" w:rsidRPr="00013DC1">
        <w:rPr>
          <w:rFonts w:cs="Arial"/>
          <w:lang w:val="es-MX"/>
        </w:rPr>
        <w:t>de la SWR</w:t>
      </w:r>
      <w:r w:rsidRPr="00013DC1">
        <w:rPr>
          <w:rFonts w:cs="Arial"/>
          <w:lang w:val="es-MX"/>
        </w:rPr>
        <w:t>C experimental en la trayectoria de secado (</w:t>
      </w:r>
      <w:r w:rsidRPr="00013DC1">
        <w:rPr>
          <w:rFonts w:cs="Arial"/>
          <w:i/>
        </w:rPr>
        <w:t>ψ</w:t>
      </w:r>
      <w:r w:rsidRPr="00013DC1">
        <w:rPr>
          <w:rFonts w:cs="Arial"/>
          <w:i/>
          <w:vertAlign w:val="subscript"/>
          <w:lang w:val="es-MX"/>
        </w:rPr>
        <w:t>d</w:t>
      </w:r>
      <w:r w:rsidR="005071C5" w:rsidRPr="00013DC1">
        <w:rPr>
          <w:rFonts w:cs="Arial"/>
          <w:i/>
          <w:vertAlign w:val="subscript"/>
          <w:lang w:val="es-MX"/>
        </w:rPr>
        <w:t>i</w:t>
      </w:r>
      <w:r w:rsidR="005071C5" w:rsidRPr="00013DC1">
        <w:rPr>
          <w:rFonts w:cs="Arial"/>
          <w:i/>
          <w:lang w:val="es-MX"/>
        </w:rPr>
        <w:t>,</w:t>
      </w:r>
      <w:r w:rsidR="005071C5" w:rsidRPr="00013DC1">
        <w:rPr>
          <w:rFonts w:cs="Arial"/>
          <w:lang w:val="es-MX"/>
        </w:rPr>
        <w:t xml:space="preserve"> </w:t>
      </w:r>
      <w:proofErr w:type="spellStart"/>
      <w:r w:rsidR="005071C5" w:rsidRPr="00013DC1">
        <w:rPr>
          <w:rFonts w:cs="Arial"/>
          <w:i/>
          <w:lang w:val="es-MX"/>
        </w:rPr>
        <w:t>θ</w:t>
      </w:r>
      <w:r w:rsidRPr="00013DC1">
        <w:rPr>
          <w:rFonts w:cs="Arial"/>
          <w:i/>
          <w:vertAlign w:val="subscript"/>
          <w:lang w:val="es-MX"/>
        </w:rPr>
        <w:t>di</w:t>
      </w:r>
      <w:proofErr w:type="spellEnd"/>
      <w:r w:rsidRPr="00013DC1">
        <w:rPr>
          <w:rFonts w:cs="Arial"/>
          <w:lang w:val="es-MX"/>
        </w:rPr>
        <w:t xml:space="preserve">), posteriormente, se </w:t>
      </w:r>
      <w:r w:rsidR="005071C5" w:rsidRPr="00013DC1">
        <w:rPr>
          <w:rFonts w:cs="Arial"/>
          <w:lang w:val="es-MX"/>
        </w:rPr>
        <w:t>introducen los puntos de la SWR</w:t>
      </w:r>
      <w:r w:rsidRPr="00013DC1">
        <w:rPr>
          <w:rFonts w:cs="Arial"/>
          <w:lang w:val="es-MX"/>
        </w:rPr>
        <w:t>C experimental en la trayectoria de humedecimiento (</w:t>
      </w:r>
      <w:r w:rsidRPr="00013DC1">
        <w:rPr>
          <w:rFonts w:cs="Arial"/>
          <w:i/>
        </w:rPr>
        <w:t>ψ</w:t>
      </w:r>
      <w:proofErr w:type="spellStart"/>
      <w:r w:rsidRPr="00013DC1">
        <w:rPr>
          <w:rFonts w:cs="Arial"/>
          <w:i/>
          <w:vertAlign w:val="subscript"/>
          <w:lang w:val="es-MX"/>
        </w:rPr>
        <w:t>wi</w:t>
      </w:r>
      <w:proofErr w:type="spellEnd"/>
      <w:r w:rsidRPr="00013DC1">
        <w:rPr>
          <w:rFonts w:cs="Arial"/>
          <w:lang w:val="es-MX"/>
        </w:rPr>
        <w:t>,</w:t>
      </w:r>
      <w:r w:rsidR="005071C5" w:rsidRPr="00013DC1">
        <w:rPr>
          <w:rFonts w:cs="Arial"/>
          <w:lang w:val="es-MX"/>
        </w:rPr>
        <w:t xml:space="preserve"> </w:t>
      </w:r>
      <w:proofErr w:type="spellStart"/>
      <w:r w:rsidR="005071C5" w:rsidRPr="00013DC1">
        <w:rPr>
          <w:rFonts w:cs="Arial"/>
          <w:i/>
          <w:lang w:val="es-MX"/>
        </w:rPr>
        <w:t>θ</w:t>
      </w:r>
      <w:r w:rsidRPr="00013DC1">
        <w:rPr>
          <w:rFonts w:cs="Arial"/>
          <w:i/>
          <w:vertAlign w:val="subscript"/>
          <w:lang w:val="es-MX"/>
        </w:rPr>
        <w:t>wi</w:t>
      </w:r>
      <w:proofErr w:type="spellEnd"/>
      <w:r w:rsidRPr="00013DC1">
        <w:rPr>
          <w:rFonts w:cs="Arial"/>
          <w:lang w:val="es-MX"/>
        </w:rPr>
        <w:t>), ambas con la cantidad de puntos experimentales que se deseen, finalizando con la construcción</w:t>
      </w:r>
      <w:r w:rsidR="005071C5" w:rsidRPr="00013DC1">
        <w:rPr>
          <w:rFonts w:cs="Arial"/>
          <w:lang w:val="es-MX"/>
        </w:rPr>
        <w:t xml:space="preserve"> de la gráfica que plasma la SWR</w:t>
      </w:r>
      <w:r w:rsidRPr="00013DC1">
        <w:rPr>
          <w:rFonts w:cs="Arial"/>
          <w:lang w:val="es-MX"/>
        </w:rPr>
        <w:t xml:space="preserve">C. </w:t>
      </w:r>
    </w:p>
    <w:p w:rsidR="005A05B6" w:rsidRPr="00013DC1" w:rsidRDefault="00AC7DEB" w:rsidP="005A05B6">
      <w:pPr>
        <w:ind w:firstLine="284"/>
        <w:rPr>
          <w:rFonts w:cs="Arial"/>
          <w:lang w:val="es-MX"/>
        </w:rPr>
      </w:pPr>
      <w:r w:rsidRPr="00013DC1">
        <w:rPr>
          <w:rFonts w:cs="Arial"/>
          <w:lang w:val="es-MX"/>
        </w:rPr>
        <w:lastRenderedPageBreak/>
        <w:t xml:space="preserve">Debido a que </w:t>
      </w:r>
      <w:r w:rsidR="005071C5" w:rsidRPr="00013DC1">
        <w:rPr>
          <w:rFonts w:cs="Arial"/>
          <w:lang w:val="es-MX"/>
        </w:rPr>
        <w:t xml:space="preserve">generalmente se construye la SWRC relacionando la succión con el grado de saturación, entonces, es necesario convertir los contenidos de agua a grados de saturación. Para esta tarea es que se requieren los contenidos de agua </w:t>
      </w:r>
      <w:r w:rsidRPr="00013DC1">
        <w:rPr>
          <w:rFonts w:cs="Arial"/>
          <w:lang w:val="es-MX"/>
        </w:rPr>
        <w:t>saturado (</w:t>
      </w:r>
      <w:r w:rsidRPr="00013DC1">
        <w:rPr>
          <w:rFonts w:cs="Arial"/>
        </w:rPr>
        <w:t>θ</w:t>
      </w:r>
      <w:r w:rsidRPr="00013DC1">
        <w:rPr>
          <w:rFonts w:cs="Arial"/>
          <w:vertAlign w:val="subscript"/>
          <w:lang w:val="es-MX"/>
        </w:rPr>
        <w:t>s</w:t>
      </w:r>
      <w:r w:rsidRPr="00013DC1">
        <w:rPr>
          <w:rFonts w:cs="Arial"/>
          <w:lang w:val="es-MX"/>
        </w:rPr>
        <w:t>) y residual (</w:t>
      </w:r>
      <w:r w:rsidRPr="00013DC1">
        <w:rPr>
          <w:rFonts w:cs="Arial"/>
        </w:rPr>
        <w:t>θ</w:t>
      </w:r>
      <w:r w:rsidRPr="00013DC1">
        <w:rPr>
          <w:rFonts w:cs="Arial"/>
          <w:vertAlign w:val="subscript"/>
          <w:lang w:val="es-MX"/>
        </w:rPr>
        <w:t>r</w:t>
      </w:r>
      <w:r w:rsidRPr="00013DC1">
        <w:rPr>
          <w:rFonts w:cs="Arial"/>
          <w:lang w:val="es-MX"/>
        </w:rPr>
        <w:t>), de esta manera tam</w:t>
      </w:r>
      <w:r w:rsidR="005071C5" w:rsidRPr="00013DC1">
        <w:rPr>
          <w:rFonts w:cs="Arial"/>
          <w:lang w:val="es-MX"/>
        </w:rPr>
        <w:t>bién es posible construir la SWR</w:t>
      </w:r>
      <w:r w:rsidRPr="00013DC1">
        <w:rPr>
          <w:rFonts w:cs="Arial"/>
          <w:lang w:val="es-MX"/>
        </w:rPr>
        <w:t xml:space="preserve">C relacionando la succión con el </w:t>
      </w:r>
      <w:r w:rsidR="005071C5" w:rsidRPr="00013DC1">
        <w:rPr>
          <w:rFonts w:cs="Arial"/>
          <w:lang w:val="es-MX"/>
        </w:rPr>
        <w:t>grado de saturación (</w:t>
      </w:r>
      <w:r w:rsidR="005071C5" w:rsidRPr="00013DC1">
        <w:rPr>
          <w:rFonts w:cs="Arial"/>
          <w:i/>
        </w:rPr>
        <w:t>ψ</w:t>
      </w:r>
      <w:r w:rsidR="005071C5" w:rsidRPr="00013DC1">
        <w:rPr>
          <w:rFonts w:cs="Arial"/>
          <w:i/>
          <w:vertAlign w:val="subscript"/>
          <w:lang w:val="es-MX"/>
        </w:rPr>
        <w:t>di</w:t>
      </w:r>
      <w:r w:rsidR="005071C5" w:rsidRPr="00013DC1">
        <w:rPr>
          <w:rFonts w:cs="Arial"/>
          <w:lang w:val="es-MX"/>
        </w:rPr>
        <w:t xml:space="preserve">, </w:t>
      </w:r>
      <w:proofErr w:type="spellStart"/>
      <w:r w:rsidR="005071C5" w:rsidRPr="00013DC1">
        <w:rPr>
          <w:rFonts w:cs="Arial"/>
          <w:lang w:val="es-MX"/>
        </w:rPr>
        <w:t>Sr</w:t>
      </w:r>
      <w:r w:rsidR="005071C5" w:rsidRPr="00013DC1">
        <w:rPr>
          <w:rFonts w:cs="Arial"/>
          <w:i/>
          <w:vertAlign w:val="subscript"/>
          <w:lang w:val="es-MX"/>
        </w:rPr>
        <w:t>di</w:t>
      </w:r>
      <w:proofErr w:type="spellEnd"/>
      <w:r w:rsidR="005071C5" w:rsidRPr="00013DC1">
        <w:rPr>
          <w:rFonts w:cs="Arial"/>
          <w:lang w:val="es-MX"/>
        </w:rPr>
        <w:t>)</w:t>
      </w:r>
      <w:r w:rsidRPr="00013DC1">
        <w:rPr>
          <w:rFonts w:cs="Arial"/>
          <w:lang w:val="es-MX"/>
        </w:rPr>
        <w:t>.</w:t>
      </w:r>
    </w:p>
    <w:p w:rsidR="00AC7DEB" w:rsidRPr="00013DC1" w:rsidRDefault="00AC7DEB" w:rsidP="005A05B6">
      <w:pPr>
        <w:ind w:firstLine="284"/>
        <w:rPr>
          <w:lang w:val="es-MX"/>
        </w:rPr>
      </w:pPr>
      <w:r w:rsidRPr="00013DC1">
        <w:rPr>
          <w:lang w:val="es-MX"/>
        </w:rPr>
        <w:t>Finalizando la primer</w:t>
      </w:r>
      <w:r w:rsidR="00521A74" w:rsidRPr="00013DC1">
        <w:rPr>
          <w:lang w:val="es-MX"/>
        </w:rPr>
        <w:t>a</w:t>
      </w:r>
      <w:r w:rsidRPr="00013DC1">
        <w:rPr>
          <w:lang w:val="es-MX"/>
        </w:rPr>
        <w:t xml:space="preserve"> etapa, los puntos se almacenan en un arreglo llamado “tabla” donde se guardan los </w:t>
      </w:r>
      <w:r w:rsidR="00521A74" w:rsidRPr="00013DC1">
        <w:rPr>
          <w:lang w:val="es-MX"/>
        </w:rPr>
        <w:t>valores de succión (</w:t>
      </w:r>
      <w:r w:rsidR="00521A74" w:rsidRPr="00013DC1">
        <w:t>ψ</w:t>
      </w:r>
      <w:r w:rsidR="00521A74" w:rsidRPr="00013DC1">
        <w:rPr>
          <w:lang w:val="es-MX"/>
        </w:rPr>
        <w:t xml:space="preserve">), </w:t>
      </w:r>
      <w:r w:rsidRPr="00013DC1">
        <w:rPr>
          <w:lang w:val="es-MX"/>
        </w:rPr>
        <w:t>grados de saturaci</w:t>
      </w:r>
      <w:r w:rsidRPr="00013DC1">
        <w:rPr>
          <w:rFonts w:eastAsiaTheme="minorHAnsi"/>
          <w:lang w:val="es-MX" w:eastAsia="ja-JP"/>
        </w:rPr>
        <w:t>ó</w:t>
      </w:r>
      <w:r w:rsidRPr="00013DC1">
        <w:rPr>
          <w:lang w:val="es-MX"/>
        </w:rPr>
        <w:t xml:space="preserve">n (Sr), contenido de </w:t>
      </w:r>
      <w:r w:rsidR="00521A74" w:rsidRPr="00013DC1">
        <w:rPr>
          <w:lang w:val="es-MX"/>
        </w:rPr>
        <w:t>agua</w:t>
      </w:r>
      <w:r w:rsidRPr="00013DC1">
        <w:rPr>
          <w:lang w:val="es-MX"/>
        </w:rPr>
        <w:t xml:space="preserve"> (</w:t>
      </w:r>
      <w:r w:rsidRPr="00013DC1">
        <w:t>θ</w:t>
      </w:r>
      <w:r w:rsidRPr="00013DC1">
        <w:rPr>
          <w:lang w:val="es-MX"/>
        </w:rPr>
        <w:t>) en columnas distintas. Con esta tabla se puede determinar un polinomio de grado (n) para cada u</w:t>
      </w:r>
      <w:r w:rsidR="007C61BE" w:rsidRPr="00013DC1">
        <w:rPr>
          <w:lang w:val="es-MX"/>
        </w:rPr>
        <w:t>na de las curv</w:t>
      </w:r>
      <w:r w:rsidR="00521A74" w:rsidRPr="00013DC1">
        <w:rPr>
          <w:lang w:val="es-MX"/>
        </w:rPr>
        <w:t>as</w:t>
      </w:r>
      <w:r w:rsidR="007C61BE" w:rsidRPr="00013DC1">
        <w:rPr>
          <w:lang w:val="es-MX"/>
        </w:rPr>
        <w:t xml:space="preserve"> principales</w:t>
      </w:r>
      <w:r w:rsidR="00521A74" w:rsidRPr="00013DC1">
        <w:rPr>
          <w:lang w:val="es-MX"/>
        </w:rPr>
        <w:t xml:space="preserve"> de la SWR</w:t>
      </w:r>
      <w:r w:rsidRPr="00013DC1">
        <w:rPr>
          <w:lang w:val="es-MX"/>
        </w:rPr>
        <w:t xml:space="preserve">C. </w:t>
      </w:r>
      <w:r w:rsidR="00521A74" w:rsidRPr="00013DC1">
        <w:rPr>
          <w:lang w:val="es-MX"/>
        </w:rPr>
        <w:t xml:space="preserve">Se basa en el procedimiento de interpolación con incrementos variables y la interpolación de </w:t>
      </w:r>
      <w:proofErr w:type="spellStart"/>
      <w:r w:rsidR="00521A74" w:rsidRPr="00013DC1">
        <w:rPr>
          <w:lang w:val="es-MX"/>
        </w:rPr>
        <w:t>Lagrange</w:t>
      </w:r>
      <w:proofErr w:type="spellEnd"/>
      <w:r w:rsidR="00521A74" w:rsidRPr="00013DC1">
        <w:rPr>
          <w:lang w:val="es-MX"/>
        </w:rPr>
        <w:t xml:space="preserve">. El proceso usa funciones tabulares en el cual los valores de x (succión </w:t>
      </w:r>
      <w:r w:rsidR="00521A74" w:rsidRPr="00013DC1">
        <w:rPr>
          <w:rFonts w:cs="Arial"/>
          <w:i/>
        </w:rPr>
        <w:t>ψ</w:t>
      </w:r>
      <w:r w:rsidR="00521A74" w:rsidRPr="00013DC1">
        <w:rPr>
          <w:lang w:val="es-MX"/>
        </w:rPr>
        <w:t>) no son equidistantes. Así, para generar la interpolaci</w:t>
      </w:r>
      <w:r w:rsidR="0035692E" w:rsidRPr="00013DC1">
        <w:rPr>
          <w:lang w:val="es-MX"/>
        </w:rPr>
        <w:t xml:space="preserve">ón </w:t>
      </w:r>
      <w:proofErr w:type="spellStart"/>
      <w:r w:rsidR="0035692E" w:rsidRPr="00013DC1">
        <w:rPr>
          <w:lang w:val="es-MX"/>
        </w:rPr>
        <w:t>polinómica</w:t>
      </w:r>
      <w:proofErr w:type="spellEnd"/>
      <w:r w:rsidR="0035692E" w:rsidRPr="00013DC1">
        <w:rPr>
          <w:lang w:val="es-MX"/>
        </w:rPr>
        <w:t xml:space="preserve"> es necesario pasar por todos los puntos, con lo cual dichos puntos se vinculan con el polinomio para generar la SWRC numérica.</w:t>
      </w:r>
      <w:r w:rsidR="00521A74" w:rsidRPr="00013DC1">
        <w:rPr>
          <w:lang w:val="es-MX"/>
        </w:rPr>
        <w:t xml:space="preserve"> </w:t>
      </w:r>
      <w:r w:rsidR="0035692E" w:rsidRPr="00013DC1">
        <w:rPr>
          <w:lang w:val="es-MX"/>
        </w:rPr>
        <w:t xml:space="preserve">Por lo tanto, si tenemos n puntos experimentales, el polinomio será de grado n-1. </w:t>
      </w:r>
      <w:r w:rsidRPr="00013DC1">
        <w:rPr>
          <w:lang w:val="es-MX"/>
        </w:rPr>
        <w:t>Esto permite determina</w:t>
      </w:r>
      <w:r w:rsidR="0035692E" w:rsidRPr="00013DC1">
        <w:rPr>
          <w:lang w:val="es-MX"/>
        </w:rPr>
        <w:t>r (interpolando) los valores de</w:t>
      </w:r>
      <w:r w:rsidRPr="00013DC1">
        <w:rPr>
          <w:lang w:val="es-MX"/>
        </w:rPr>
        <w:t>l</w:t>
      </w:r>
      <w:r w:rsidR="0035692E" w:rsidRPr="00013DC1">
        <w:rPr>
          <w:lang w:val="es-MX"/>
        </w:rPr>
        <w:t xml:space="preserve"> grado de saturación (Sr</w:t>
      </w:r>
      <w:r w:rsidRPr="00013DC1">
        <w:rPr>
          <w:lang w:val="es-MX"/>
        </w:rPr>
        <w:t>) para cualquier valor de la succión (</w:t>
      </w:r>
      <w:r w:rsidRPr="00013DC1">
        <w:t>ψ</w:t>
      </w:r>
      <w:r w:rsidR="0035692E" w:rsidRPr="00013DC1">
        <w:rPr>
          <w:lang w:val="es-MX"/>
        </w:rPr>
        <w:t>) en</w:t>
      </w:r>
      <w:r w:rsidRPr="00013DC1">
        <w:rPr>
          <w:lang w:val="es-MX"/>
        </w:rPr>
        <w:t xml:space="preserve"> cada una de las trayectorias</w:t>
      </w:r>
      <w:r w:rsidR="0035692E" w:rsidRPr="00013DC1">
        <w:rPr>
          <w:lang w:val="es-MX"/>
        </w:rPr>
        <w:t xml:space="preserve"> principales</w:t>
      </w:r>
      <w:r w:rsidRPr="00013DC1">
        <w:rPr>
          <w:lang w:val="es-MX"/>
        </w:rPr>
        <w:t>, esto sin excluir los</w:t>
      </w:r>
      <w:r w:rsidR="0035692E" w:rsidRPr="00013DC1">
        <w:rPr>
          <w:lang w:val="es-MX"/>
        </w:rPr>
        <w:t xml:space="preserve"> puntos experimentales de la SWR</w:t>
      </w:r>
      <w:r w:rsidRPr="00013DC1">
        <w:rPr>
          <w:lang w:val="es-MX"/>
        </w:rPr>
        <w:t xml:space="preserve">C. Cabe mencionar que entre mayor sea el número </w:t>
      </w:r>
      <w:r w:rsidR="0035692E" w:rsidRPr="00013DC1">
        <w:rPr>
          <w:lang w:val="es-MX"/>
        </w:rPr>
        <w:t>puntos experimentales</w:t>
      </w:r>
      <w:r w:rsidRPr="00013DC1">
        <w:rPr>
          <w:lang w:val="es-MX"/>
        </w:rPr>
        <w:t xml:space="preserve"> mayor será la precisión de la aproximación.</w:t>
      </w:r>
    </w:p>
    <w:p w:rsidR="00907166" w:rsidRPr="00013DC1" w:rsidRDefault="00B80352" w:rsidP="005A05B6">
      <w:pPr>
        <w:ind w:firstLine="284"/>
        <w:rPr>
          <w:rFonts w:cs="Arial"/>
          <w:lang w:val="es-MX"/>
        </w:rPr>
      </w:pPr>
      <w:r w:rsidRPr="00013DC1">
        <w:rPr>
          <w:rFonts w:cs="Arial"/>
          <w:lang w:val="es-MX"/>
        </w:rPr>
        <w:t xml:space="preserve">En la segunda etapa, los ciclos secundarios de histéresis son evaluados tomando en cuenta el planteamiento proporcionado por </w:t>
      </w:r>
      <w:proofErr w:type="spellStart"/>
      <w:r w:rsidRPr="00013DC1">
        <w:rPr>
          <w:rFonts w:cs="Arial"/>
          <w:lang w:val="es-MX"/>
        </w:rPr>
        <w:t>Zhou</w:t>
      </w:r>
      <w:proofErr w:type="spellEnd"/>
      <w:r w:rsidRPr="00013DC1">
        <w:rPr>
          <w:rFonts w:cs="Arial"/>
          <w:lang w:val="es-MX"/>
        </w:rPr>
        <w:t xml:space="preserve"> </w:t>
      </w:r>
      <w:r w:rsidRPr="00013DC1">
        <w:rPr>
          <w:rFonts w:cs="Arial"/>
          <w:i/>
          <w:lang w:val="es-MX"/>
        </w:rPr>
        <w:t>et al</w:t>
      </w:r>
      <w:r w:rsidRPr="00013DC1">
        <w:rPr>
          <w:rFonts w:cs="Arial"/>
          <w:lang w:val="es-MX"/>
        </w:rPr>
        <w:t xml:space="preserve">. (2012) </w:t>
      </w:r>
      <w:r w:rsidR="007C61BE" w:rsidRPr="00013DC1">
        <w:rPr>
          <w:rFonts w:cs="Arial"/>
          <w:lang w:val="es-MX"/>
        </w:rPr>
        <w:t>(ver Fig. 3) con ciertas modificaciones</w:t>
      </w:r>
      <w:r w:rsidRPr="00013DC1">
        <w:rPr>
          <w:rFonts w:cs="Arial"/>
          <w:lang w:val="es-MX"/>
        </w:rPr>
        <w:t>.</w:t>
      </w:r>
      <w:r w:rsidR="007C61BE" w:rsidRPr="00013DC1">
        <w:rPr>
          <w:rFonts w:cs="Arial"/>
          <w:lang w:val="es-MX"/>
        </w:rPr>
        <w:t xml:space="preserve"> Esto significa, que el procedimiento propuesto no utiliza las ecuaciones (7) a (12) ya que no se realiza </w:t>
      </w:r>
      <w:r w:rsidR="006E3E15" w:rsidRPr="00013DC1">
        <w:rPr>
          <w:rFonts w:cs="Arial"/>
          <w:lang w:val="es-MX"/>
        </w:rPr>
        <w:t>el</w:t>
      </w:r>
      <w:r w:rsidR="007C61BE" w:rsidRPr="00013DC1">
        <w:rPr>
          <w:rFonts w:cs="Arial"/>
          <w:lang w:val="es-MX"/>
        </w:rPr>
        <w:t xml:space="preserve"> ajuste de van </w:t>
      </w:r>
      <w:proofErr w:type="spellStart"/>
      <w:r w:rsidR="007C61BE" w:rsidRPr="00013DC1">
        <w:rPr>
          <w:rFonts w:cs="Arial"/>
          <w:lang w:val="es-MX"/>
        </w:rPr>
        <w:t>Genuchten</w:t>
      </w:r>
      <w:proofErr w:type="spellEnd"/>
      <w:r w:rsidR="007C61BE" w:rsidRPr="00013DC1">
        <w:rPr>
          <w:rFonts w:cs="Arial"/>
          <w:lang w:val="es-MX"/>
        </w:rPr>
        <w:t xml:space="preserve"> (1980)</w:t>
      </w:r>
      <w:r w:rsidR="00176FD7" w:rsidRPr="00013DC1">
        <w:rPr>
          <w:rFonts w:cs="Arial"/>
          <w:lang w:val="es-MX"/>
        </w:rPr>
        <w:t>.</w:t>
      </w:r>
      <w:r w:rsidR="007C61BE" w:rsidRPr="00013DC1">
        <w:rPr>
          <w:rFonts w:cs="Arial"/>
          <w:lang w:val="es-MX"/>
        </w:rPr>
        <w:t xml:space="preserve"> </w:t>
      </w:r>
      <w:r w:rsidR="00176FD7" w:rsidRPr="00013DC1">
        <w:rPr>
          <w:rFonts w:cs="Arial"/>
          <w:lang w:val="es-MX"/>
        </w:rPr>
        <w:t>Por el contrario</w:t>
      </w:r>
      <w:r w:rsidR="007C61BE" w:rsidRPr="00013DC1">
        <w:rPr>
          <w:rFonts w:cs="Arial"/>
          <w:lang w:val="es-MX"/>
        </w:rPr>
        <w:t>,</w:t>
      </w:r>
      <w:r w:rsidR="006E3E15" w:rsidRPr="00013DC1">
        <w:rPr>
          <w:rFonts w:cs="Arial"/>
          <w:lang w:val="es-MX"/>
        </w:rPr>
        <w:t xml:space="preserve"> </w:t>
      </w:r>
      <w:r w:rsidR="007C61BE" w:rsidRPr="00013DC1">
        <w:rPr>
          <w:rFonts w:cs="Arial"/>
          <w:lang w:val="es-MX"/>
        </w:rPr>
        <w:t xml:space="preserve">se utilizan los polinomios </w:t>
      </w:r>
      <w:r w:rsidR="006E3E15" w:rsidRPr="00013DC1">
        <w:rPr>
          <w:rFonts w:cs="Arial"/>
          <w:lang w:val="es-MX"/>
        </w:rPr>
        <w:t xml:space="preserve">de las curvas principales </w:t>
      </w:r>
      <w:r w:rsidR="007C61BE" w:rsidRPr="00013DC1">
        <w:rPr>
          <w:rFonts w:cs="Arial"/>
          <w:lang w:val="es-MX"/>
        </w:rPr>
        <w:t>generados</w:t>
      </w:r>
      <w:r w:rsidR="006E3E15" w:rsidRPr="00013DC1">
        <w:rPr>
          <w:rFonts w:cs="Arial"/>
          <w:lang w:val="es-MX"/>
        </w:rPr>
        <w:t xml:space="preserve"> por el arreglo “tabla”</w:t>
      </w:r>
      <w:r w:rsidR="007C61BE" w:rsidRPr="00013DC1">
        <w:rPr>
          <w:rFonts w:cs="Arial"/>
          <w:lang w:val="es-MX"/>
        </w:rPr>
        <w:t xml:space="preserve"> para</w:t>
      </w:r>
      <w:r w:rsidR="006E3E15" w:rsidRPr="00013DC1">
        <w:rPr>
          <w:rFonts w:cs="Arial"/>
          <w:lang w:val="es-MX"/>
        </w:rPr>
        <w:t xml:space="preserve"> determinar los parámetros solicitados en la Figura 3. </w:t>
      </w:r>
      <w:r w:rsidR="00907166" w:rsidRPr="00013DC1">
        <w:rPr>
          <w:rFonts w:cs="Arial"/>
          <w:lang w:val="es-MX"/>
        </w:rPr>
        <w:t>Además, sí se considera el parámetro “b” que se encuentra dentro de las ecuaciones (9) y (11), esto es debido a que la función de (b) es suavizar las curvas secundarias, y este no afecta en nada los resultados ya que es un parámetro completamente empírico</w:t>
      </w:r>
      <w:r w:rsidR="00B202F7" w:rsidRPr="00013DC1">
        <w:rPr>
          <w:rFonts w:cs="Arial"/>
          <w:lang w:val="es-MX"/>
        </w:rPr>
        <w:t xml:space="preserve">. Al igual que </w:t>
      </w:r>
      <w:proofErr w:type="spellStart"/>
      <w:r w:rsidR="00B202F7" w:rsidRPr="00013DC1">
        <w:rPr>
          <w:rFonts w:cs="Arial"/>
          <w:lang w:val="es-MX"/>
        </w:rPr>
        <w:t>Zhou</w:t>
      </w:r>
      <w:proofErr w:type="spellEnd"/>
      <w:r w:rsidR="00B202F7" w:rsidRPr="00013DC1">
        <w:rPr>
          <w:rFonts w:cs="Arial"/>
          <w:lang w:val="es-MX"/>
        </w:rPr>
        <w:t xml:space="preserve"> et al. (2012), los valores de (b) van desde 2 a 3 para curvas primarias muy separadas y para curvas principales muy cercanas, se recomienda que (b) sea 5, sin embargo, esta no es una regla</w:t>
      </w:r>
      <w:r w:rsidR="00907166" w:rsidRPr="00013DC1">
        <w:rPr>
          <w:rFonts w:cs="Arial"/>
          <w:lang w:val="es-MX"/>
        </w:rPr>
        <w:t>.</w:t>
      </w:r>
    </w:p>
    <w:p w:rsidR="00C3004F" w:rsidRPr="00013DC1" w:rsidRDefault="00907166" w:rsidP="005A05B6">
      <w:pPr>
        <w:ind w:firstLine="284"/>
        <w:rPr>
          <w:rFonts w:cs="Arial"/>
          <w:lang w:val="es-MX"/>
        </w:rPr>
      </w:pPr>
      <w:r w:rsidRPr="00013DC1">
        <w:rPr>
          <w:rFonts w:cs="Arial"/>
          <w:lang w:val="es-MX"/>
        </w:rPr>
        <w:t>Para los ciclos secundarios</w:t>
      </w:r>
      <w:r w:rsidR="00D01E50" w:rsidRPr="00013DC1">
        <w:rPr>
          <w:rFonts w:cs="Arial"/>
          <w:lang w:val="es-MX"/>
        </w:rPr>
        <w:t xml:space="preserve"> es necesario</w:t>
      </w:r>
      <w:r w:rsidRPr="00013DC1">
        <w:rPr>
          <w:rFonts w:cs="Arial"/>
          <w:lang w:val="es-MX"/>
        </w:rPr>
        <w:t xml:space="preserve"> </w:t>
      </w:r>
      <w:r w:rsidR="00B80352" w:rsidRPr="00013DC1">
        <w:rPr>
          <w:rFonts w:cs="Arial"/>
          <w:lang w:val="es-MX"/>
        </w:rPr>
        <w:t>indica</w:t>
      </w:r>
      <w:r w:rsidR="00D01E50" w:rsidRPr="00013DC1">
        <w:rPr>
          <w:rFonts w:cs="Arial"/>
          <w:lang w:val="es-MX"/>
        </w:rPr>
        <w:t>r</w:t>
      </w:r>
      <w:r w:rsidR="00B80352" w:rsidRPr="00013DC1">
        <w:rPr>
          <w:rFonts w:cs="Arial"/>
          <w:lang w:val="es-MX"/>
        </w:rPr>
        <w:t xml:space="preserve"> </w:t>
      </w:r>
      <w:r w:rsidRPr="00013DC1">
        <w:rPr>
          <w:rFonts w:cs="Arial"/>
          <w:lang w:val="es-MX"/>
        </w:rPr>
        <w:t xml:space="preserve">el </w:t>
      </w:r>
      <w:r w:rsidR="00B80352" w:rsidRPr="00013DC1">
        <w:rPr>
          <w:rFonts w:cs="Arial"/>
          <w:lang w:val="es-MX"/>
        </w:rPr>
        <w:t xml:space="preserve">grado </w:t>
      </w:r>
      <w:r w:rsidRPr="00013DC1">
        <w:rPr>
          <w:rFonts w:cs="Arial"/>
          <w:lang w:val="es-MX"/>
        </w:rPr>
        <w:t xml:space="preserve">de saturación inicial y final, </w:t>
      </w:r>
      <w:r w:rsidR="00D01E50" w:rsidRPr="00013DC1">
        <w:rPr>
          <w:rFonts w:cs="Arial"/>
          <w:lang w:val="es-MX"/>
        </w:rPr>
        <w:t xml:space="preserve">así, </w:t>
      </w:r>
      <w:r w:rsidRPr="00013DC1">
        <w:rPr>
          <w:rFonts w:cs="Arial"/>
          <w:lang w:val="es-MX"/>
        </w:rPr>
        <w:t xml:space="preserve">el algoritmo </w:t>
      </w:r>
      <w:r w:rsidR="00B80352" w:rsidRPr="00013DC1">
        <w:rPr>
          <w:rFonts w:cs="Arial"/>
          <w:lang w:val="es-MX"/>
        </w:rPr>
        <w:t xml:space="preserve">identifica la trayectoria </w:t>
      </w:r>
      <w:r w:rsidR="00D01E50" w:rsidRPr="00013DC1">
        <w:rPr>
          <w:rFonts w:cs="Arial"/>
          <w:lang w:val="es-MX"/>
        </w:rPr>
        <w:t>de</w:t>
      </w:r>
      <w:r w:rsidR="00B80352" w:rsidRPr="00013DC1">
        <w:rPr>
          <w:rFonts w:cs="Arial"/>
          <w:lang w:val="es-MX"/>
        </w:rPr>
        <w:t>l proceso</w:t>
      </w:r>
      <w:r w:rsidRPr="00013DC1">
        <w:rPr>
          <w:rFonts w:cs="Arial"/>
          <w:lang w:val="es-MX"/>
        </w:rPr>
        <w:t xml:space="preserve"> de manera automática (si </w:t>
      </w:r>
      <w:r w:rsidR="00D01E50" w:rsidRPr="00013DC1">
        <w:rPr>
          <w:rFonts w:cs="Arial"/>
          <w:lang w:val="es-MX"/>
        </w:rPr>
        <w:t>Sr</w:t>
      </w:r>
      <w:r w:rsidR="00D01E50" w:rsidRPr="00013DC1">
        <w:rPr>
          <w:rFonts w:cs="Arial"/>
          <w:vertAlign w:val="subscript"/>
          <w:lang w:val="es-MX"/>
        </w:rPr>
        <w:t>i</w:t>
      </w:r>
      <w:r w:rsidR="00D01E50" w:rsidRPr="00013DC1">
        <w:rPr>
          <w:rFonts w:cs="Arial"/>
          <w:lang w:val="es-MX"/>
        </w:rPr>
        <w:t xml:space="preserve"> &lt; </w:t>
      </w:r>
      <w:proofErr w:type="spellStart"/>
      <w:r w:rsidR="00D01E50" w:rsidRPr="00013DC1">
        <w:rPr>
          <w:rFonts w:cs="Arial"/>
          <w:lang w:val="es-MX"/>
        </w:rPr>
        <w:t>Sr</w:t>
      </w:r>
      <w:r w:rsidR="00D01E50" w:rsidRPr="00013DC1">
        <w:rPr>
          <w:rFonts w:cs="Arial"/>
          <w:vertAlign w:val="subscript"/>
          <w:lang w:val="es-MX"/>
        </w:rPr>
        <w:t>f</w:t>
      </w:r>
      <w:proofErr w:type="spellEnd"/>
      <w:r w:rsidR="00D01E50" w:rsidRPr="00013DC1">
        <w:rPr>
          <w:rFonts w:cs="Arial"/>
          <w:lang w:val="es-MX"/>
        </w:rPr>
        <w:t xml:space="preserve"> el proceso es humedecimiento, en caso contrario S</w:t>
      </w:r>
      <w:r w:rsidRPr="00013DC1">
        <w:rPr>
          <w:rFonts w:cs="Arial"/>
          <w:lang w:val="es-MX"/>
        </w:rPr>
        <w:t>ecado)</w:t>
      </w:r>
      <w:r w:rsidR="00176FD7" w:rsidRPr="00013DC1">
        <w:rPr>
          <w:rFonts w:cs="Arial"/>
          <w:lang w:val="es-MX"/>
        </w:rPr>
        <w:t>. Este primer ciclo iniciará en el grado de saturación (Sr</w:t>
      </w:r>
      <w:r w:rsidR="00176FD7" w:rsidRPr="00013DC1">
        <w:rPr>
          <w:rFonts w:cs="Arial"/>
          <w:vertAlign w:val="subscript"/>
          <w:lang w:val="es-MX"/>
        </w:rPr>
        <w:t>i</w:t>
      </w:r>
      <w:r w:rsidR="00176FD7" w:rsidRPr="00013DC1">
        <w:rPr>
          <w:rFonts w:cs="Arial"/>
          <w:lang w:val="es-MX"/>
        </w:rPr>
        <w:t>) y en el valor de succión  correspondiente a la curva principal (según sea su trayectoria), es decir, no inicia en un punto arbitrario (interno) como en los métodos de Han-</w:t>
      </w:r>
      <w:proofErr w:type="spellStart"/>
      <w:r w:rsidR="00176FD7" w:rsidRPr="00013DC1">
        <w:rPr>
          <w:rFonts w:cs="Arial"/>
          <w:lang w:val="es-MX"/>
        </w:rPr>
        <w:t>Chen</w:t>
      </w:r>
      <w:proofErr w:type="spellEnd"/>
      <w:r w:rsidR="00176FD7" w:rsidRPr="00013DC1">
        <w:rPr>
          <w:rFonts w:cs="Arial"/>
          <w:lang w:val="es-MX"/>
        </w:rPr>
        <w:t xml:space="preserve"> </w:t>
      </w:r>
      <w:r w:rsidR="00176FD7" w:rsidRPr="00013DC1">
        <w:rPr>
          <w:rFonts w:cs="Arial"/>
          <w:i/>
          <w:lang w:val="es-MX"/>
        </w:rPr>
        <w:t xml:space="preserve">et al. </w:t>
      </w:r>
      <w:r w:rsidR="00176FD7" w:rsidRPr="00013DC1">
        <w:rPr>
          <w:rFonts w:cs="Arial"/>
          <w:lang w:val="es-MX"/>
        </w:rPr>
        <w:t xml:space="preserve">(2005) y </w:t>
      </w:r>
      <w:proofErr w:type="spellStart"/>
      <w:r w:rsidR="00176FD7" w:rsidRPr="00013DC1">
        <w:rPr>
          <w:rFonts w:cs="Arial"/>
          <w:lang w:val="es-MX"/>
        </w:rPr>
        <w:t>Zhou</w:t>
      </w:r>
      <w:proofErr w:type="spellEnd"/>
      <w:r w:rsidR="00176FD7" w:rsidRPr="00013DC1">
        <w:rPr>
          <w:rFonts w:cs="Arial"/>
          <w:lang w:val="es-MX"/>
        </w:rPr>
        <w:t xml:space="preserve"> </w:t>
      </w:r>
      <w:r w:rsidR="00176FD7" w:rsidRPr="00013DC1">
        <w:rPr>
          <w:rFonts w:cs="Arial"/>
          <w:i/>
          <w:lang w:val="es-MX"/>
        </w:rPr>
        <w:t>et al</w:t>
      </w:r>
      <w:r w:rsidR="00176FD7" w:rsidRPr="00013DC1">
        <w:rPr>
          <w:rFonts w:cs="Arial"/>
          <w:lang w:val="es-MX"/>
        </w:rPr>
        <w:t>. (2012)</w:t>
      </w:r>
      <w:r w:rsidR="00D01E50" w:rsidRPr="00013DC1">
        <w:rPr>
          <w:rFonts w:cs="Arial"/>
          <w:lang w:val="es-MX"/>
        </w:rPr>
        <w:t>. Posteriormente,</w:t>
      </w:r>
      <w:r w:rsidR="00B80352" w:rsidRPr="00013DC1">
        <w:rPr>
          <w:rFonts w:cs="Arial"/>
          <w:lang w:val="es-MX"/>
        </w:rPr>
        <w:t xml:space="preserve"> </w:t>
      </w:r>
      <w:r w:rsidR="009336B4" w:rsidRPr="00013DC1">
        <w:rPr>
          <w:rFonts w:cs="Arial"/>
          <w:lang w:val="es-MX"/>
        </w:rPr>
        <w:t>calcula</w:t>
      </w:r>
      <w:r w:rsidR="00B80352" w:rsidRPr="00013DC1">
        <w:rPr>
          <w:rFonts w:cs="Arial"/>
          <w:lang w:val="es-MX"/>
        </w:rPr>
        <w:t xml:space="preserve"> la pendiente y el valor de succión (ψ) correspondiente a </w:t>
      </w:r>
      <w:r w:rsidR="00B80352" w:rsidRPr="00013DC1">
        <w:rPr>
          <w:rFonts w:cs="Arial"/>
          <w:lang w:val="es-MX"/>
        </w:rPr>
        <w:lastRenderedPageBreak/>
        <w:t xml:space="preserve">la curva principal (según sea su trayectoria) </w:t>
      </w:r>
      <w:r w:rsidR="00D01E50" w:rsidRPr="00013DC1">
        <w:rPr>
          <w:rFonts w:cs="Arial"/>
          <w:lang w:val="es-MX"/>
        </w:rPr>
        <w:t>para e</w:t>
      </w:r>
      <w:r w:rsidR="00B80352" w:rsidRPr="00013DC1">
        <w:rPr>
          <w:rFonts w:cs="Arial"/>
          <w:lang w:val="es-MX"/>
        </w:rPr>
        <w:t>l mismo grado de saturación (Sr</w:t>
      </w:r>
      <w:r w:rsidR="00D01E50" w:rsidRPr="00013DC1">
        <w:rPr>
          <w:rFonts w:cs="Arial"/>
          <w:vertAlign w:val="subscript"/>
          <w:lang w:val="es-MX"/>
        </w:rPr>
        <w:t>i</w:t>
      </w:r>
      <w:r w:rsidR="00B80352" w:rsidRPr="00013DC1">
        <w:rPr>
          <w:rFonts w:cs="Arial"/>
          <w:lang w:val="es-MX"/>
        </w:rPr>
        <w:t>) del punto inicial (</w:t>
      </w:r>
      <w:proofErr w:type="spellStart"/>
      <w:r w:rsidR="00B80352" w:rsidRPr="00013DC1">
        <w:rPr>
          <w:rFonts w:cs="Arial"/>
          <w:lang w:val="es-MX"/>
        </w:rPr>
        <w:t>ψ</w:t>
      </w:r>
      <w:r w:rsidR="00B80352" w:rsidRPr="00013DC1">
        <w:rPr>
          <w:rFonts w:cs="Arial"/>
          <w:vertAlign w:val="subscript"/>
          <w:lang w:val="es-MX"/>
        </w:rPr>
        <w:t>i</w:t>
      </w:r>
      <w:proofErr w:type="gramStart"/>
      <w:r w:rsidR="00B80352" w:rsidRPr="00013DC1">
        <w:rPr>
          <w:rFonts w:cs="Arial"/>
          <w:lang w:val="es-MX"/>
        </w:rPr>
        <w:t>,Sr</w:t>
      </w:r>
      <w:r w:rsidR="00B80352" w:rsidRPr="00013DC1">
        <w:rPr>
          <w:rFonts w:cs="Arial"/>
          <w:vertAlign w:val="subscript"/>
          <w:lang w:val="es-MX"/>
        </w:rPr>
        <w:t>i</w:t>
      </w:r>
      <w:proofErr w:type="spellEnd"/>
      <w:proofErr w:type="gramEnd"/>
      <w:r w:rsidR="00B80352" w:rsidRPr="00013DC1">
        <w:rPr>
          <w:rFonts w:cs="Arial"/>
          <w:lang w:val="es-MX"/>
        </w:rPr>
        <w:t>)</w:t>
      </w:r>
      <w:r w:rsidR="00C3004F" w:rsidRPr="00013DC1">
        <w:rPr>
          <w:rFonts w:cs="Arial"/>
          <w:lang w:val="es-MX"/>
        </w:rPr>
        <w:t>. Finalme</w:t>
      </w:r>
      <w:r w:rsidR="009336B4" w:rsidRPr="00013DC1">
        <w:rPr>
          <w:rFonts w:cs="Arial"/>
          <w:lang w:val="es-MX"/>
        </w:rPr>
        <w:t>nte</w:t>
      </w:r>
      <w:r w:rsidR="00D01E50" w:rsidRPr="00013DC1">
        <w:rPr>
          <w:rFonts w:cs="Arial"/>
          <w:lang w:val="es-MX"/>
        </w:rPr>
        <w:t>,</w:t>
      </w:r>
      <w:r w:rsidR="009336B4" w:rsidRPr="00013DC1">
        <w:rPr>
          <w:rFonts w:cs="Arial"/>
          <w:lang w:val="es-MX"/>
        </w:rPr>
        <w:t xml:space="preserve"> encuentra el diferencial del grado de saturación </w:t>
      </w:r>
      <w:r w:rsidR="00C3004F" w:rsidRPr="00013DC1">
        <w:rPr>
          <w:rFonts w:cs="Arial"/>
          <w:lang w:val="es-MX"/>
        </w:rPr>
        <w:t xml:space="preserve">correspondiente a su </w:t>
      </w:r>
      <w:r w:rsidR="009336B4" w:rsidRPr="00013DC1">
        <w:rPr>
          <w:rFonts w:cs="Arial"/>
          <w:lang w:val="es-MX"/>
        </w:rPr>
        <w:t>valor de succión</w:t>
      </w:r>
      <w:r w:rsidR="00C3004F" w:rsidRPr="00013DC1">
        <w:rPr>
          <w:rFonts w:cs="Arial"/>
          <w:lang w:val="es-MX"/>
        </w:rPr>
        <w:t xml:space="preserve"> y </w:t>
      </w:r>
      <w:r w:rsidR="00D01E50" w:rsidRPr="00013DC1">
        <w:rPr>
          <w:rFonts w:cs="Arial"/>
          <w:lang w:val="es-MX"/>
        </w:rPr>
        <w:t xml:space="preserve">construye el </w:t>
      </w:r>
      <w:r w:rsidR="00C3004F" w:rsidRPr="00013DC1">
        <w:rPr>
          <w:rFonts w:cs="Arial"/>
          <w:lang w:val="es-MX"/>
        </w:rPr>
        <w:t>ciclo secundario.</w:t>
      </w:r>
    </w:p>
    <w:p w:rsidR="00BD6396" w:rsidRPr="00013DC1" w:rsidRDefault="00B80352" w:rsidP="005A05B6">
      <w:pPr>
        <w:ind w:firstLine="284"/>
        <w:rPr>
          <w:rFonts w:cs="Arial"/>
          <w:lang w:val="es-MX"/>
        </w:rPr>
      </w:pPr>
      <w:r w:rsidRPr="00013DC1">
        <w:rPr>
          <w:rFonts w:cs="Arial"/>
          <w:lang w:val="es-MX"/>
        </w:rPr>
        <w:t xml:space="preserve"> </w:t>
      </w:r>
    </w:p>
    <w:p w:rsidR="00907166" w:rsidRPr="00013DC1" w:rsidRDefault="00D84080" w:rsidP="00907166">
      <w:pPr>
        <w:ind w:firstLine="0"/>
        <w:rPr>
          <w:rFonts w:cs="Arial"/>
          <w:lang w:val="es-MX"/>
        </w:rPr>
      </w:pPr>
      <w:r w:rsidRPr="00013DC1">
        <w:rPr>
          <w:rFonts w:cs="Arial"/>
          <w:noProof/>
          <w:lang w:val="es-MX" w:eastAsia="es-MX"/>
        </w:rPr>
        <w:drawing>
          <wp:anchor distT="0" distB="0" distL="114300" distR="114300" simplePos="0" relativeHeight="251672576" behindDoc="0" locked="0" layoutInCell="1" allowOverlap="1" wp14:anchorId="356B6052" wp14:editId="735AFAC9">
            <wp:simplePos x="0" y="0"/>
            <wp:positionH relativeFrom="column">
              <wp:posOffset>0</wp:posOffset>
            </wp:positionH>
            <wp:positionV relativeFrom="paragraph">
              <wp:posOffset>157480</wp:posOffset>
            </wp:positionV>
            <wp:extent cx="2959100" cy="5757545"/>
            <wp:effectExtent l="0" t="0" r="0" b="0"/>
            <wp:wrapTopAndBottom/>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9100" cy="5757545"/>
                    </a:xfrm>
                    <a:prstGeom prst="rect">
                      <a:avLst/>
                    </a:prstGeom>
                    <a:noFill/>
                  </pic:spPr>
                </pic:pic>
              </a:graphicData>
            </a:graphic>
          </wp:anchor>
        </w:drawing>
      </w:r>
    </w:p>
    <w:p w:rsidR="00907166" w:rsidRPr="00013DC1" w:rsidRDefault="00907166" w:rsidP="00907166">
      <w:pPr>
        <w:ind w:firstLine="0"/>
        <w:rPr>
          <w:sz w:val="18"/>
          <w:lang w:val="es-MX"/>
        </w:rPr>
      </w:pPr>
      <w:r w:rsidRPr="00013DC1">
        <w:rPr>
          <w:sz w:val="18"/>
          <w:lang w:val="es-MX"/>
        </w:rPr>
        <w:t>Figura 4. Diagrama de flujo del procedimiento propuesto para determinar los ciclos secundarios de histéresis.</w:t>
      </w:r>
    </w:p>
    <w:p w:rsidR="00176FD7" w:rsidRPr="00013DC1" w:rsidRDefault="00176FD7" w:rsidP="00907166">
      <w:pPr>
        <w:ind w:firstLine="0"/>
        <w:rPr>
          <w:lang w:val="es-MX"/>
        </w:rPr>
      </w:pPr>
    </w:p>
    <w:p w:rsidR="00213C6C" w:rsidRPr="00013DC1" w:rsidRDefault="00213C6C" w:rsidP="00176FD7">
      <w:pPr>
        <w:ind w:firstLine="284"/>
        <w:rPr>
          <w:rFonts w:cs="Arial"/>
          <w:lang w:val="es-MX"/>
        </w:rPr>
      </w:pPr>
      <w:r w:rsidRPr="00013DC1">
        <w:rPr>
          <w:rFonts w:cs="Arial"/>
          <w:lang w:val="es-MX"/>
        </w:rPr>
        <w:t xml:space="preserve">La etapa tres consiste en evaluar el ciclo secundario siguiente (humedecimiento o secado) partiendo del punto final del ciclo inmediato anterior. En este caso, se especifica que trayectoria tendrá el nuevo ciclo. De igual manera, se encuentra la pendiente, el valor de succión y el diferencial de grado de saturación correspondiente al ciclo de histéresis. Finalizando, si ya no se requiere determinar un nuevo ciclo interior, el proceso termina y construye la SWRC </w:t>
      </w:r>
      <w:r w:rsidR="00AF3375" w:rsidRPr="00013DC1">
        <w:rPr>
          <w:noProof/>
          <w:sz w:val="18"/>
          <w:lang w:val="es-MX" w:eastAsia="es-MX"/>
        </w:rPr>
        <w:lastRenderedPageBreak/>
        <w:drawing>
          <wp:anchor distT="0" distB="0" distL="114300" distR="114300" simplePos="0" relativeHeight="251673600" behindDoc="0" locked="0" layoutInCell="1" allowOverlap="1" wp14:anchorId="3BB87499" wp14:editId="2E5DD35F">
            <wp:simplePos x="0" y="0"/>
            <wp:positionH relativeFrom="column">
              <wp:posOffset>3162935</wp:posOffset>
            </wp:positionH>
            <wp:positionV relativeFrom="paragraph">
              <wp:posOffset>192</wp:posOffset>
            </wp:positionV>
            <wp:extent cx="2959200" cy="2125296"/>
            <wp:effectExtent l="0" t="0" r="0" b="8890"/>
            <wp:wrapTopAndBottom/>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59200" cy="2125296"/>
                    </a:xfrm>
                    <a:prstGeom prst="rect">
                      <a:avLst/>
                    </a:prstGeom>
                    <a:noFill/>
                  </pic:spPr>
                </pic:pic>
              </a:graphicData>
            </a:graphic>
          </wp:anchor>
        </w:drawing>
      </w:r>
      <w:r w:rsidRPr="00013DC1">
        <w:rPr>
          <w:rFonts w:cs="Arial"/>
          <w:lang w:val="es-MX"/>
        </w:rPr>
        <w:t>con sus curvas principales y el i-</w:t>
      </w:r>
      <w:proofErr w:type="spellStart"/>
      <w:r w:rsidRPr="00013DC1">
        <w:rPr>
          <w:rFonts w:cs="Arial"/>
          <w:lang w:val="es-MX"/>
        </w:rPr>
        <w:t>ésimo</w:t>
      </w:r>
      <w:proofErr w:type="spellEnd"/>
      <w:r w:rsidRPr="00013DC1">
        <w:rPr>
          <w:rFonts w:cs="Arial"/>
          <w:lang w:val="es-MX"/>
        </w:rPr>
        <w:t xml:space="preserve"> ciclo de histéresis.</w:t>
      </w:r>
    </w:p>
    <w:p w:rsidR="00176FD7" w:rsidRPr="00013DC1" w:rsidRDefault="00176FD7" w:rsidP="00176FD7">
      <w:pPr>
        <w:ind w:firstLine="284"/>
        <w:rPr>
          <w:rFonts w:cs="Arial"/>
          <w:lang w:val="es-MX"/>
        </w:rPr>
      </w:pPr>
      <w:r w:rsidRPr="00013DC1">
        <w:rPr>
          <w:rFonts w:cs="Arial"/>
          <w:lang w:val="es-MX"/>
        </w:rPr>
        <w:t xml:space="preserve">Cabe mencionar que las curvas principales funcionan como las fronteras, es decir, cuando el ciclo secundario haya llegado a intersectar la frontera principal (de acuerdo a su trayectoria), éste no cruzará a la misma, sino que </w:t>
      </w:r>
      <w:proofErr w:type="spellStart"/>
      <w:r w:rsidRPr="00013DC1">
        <w:rPr>
          <w:rFonts w:cs="Arial"/>
          <w:lang w:val="es-MX"/>
        </w:rPr>
        <w:t>subreyacerá</w:t>
      </w:r>
      <w:proofErr w:type="spellEnd"/>
      <w:r w:rsidRPr="00013DC1">
        <w:rPr>
          <w:rFonts w:cs="Arial"/>
          <w:lang w:val="es-MX"/>
        </w:rPr>
        <w:t xml:space="preserve"> a ésta hasta llegar al grado de saturación final (</w:t>
      </w:r>
      <w:proofErr w:type="spellStart"/>
      <w:r w:rsidRPr="00013DC1">
        <w:rPr>
          <w:rFonts w:cs="Arial"/>
          <w:lang w:val="es-MX"/>
        </w:rPr>
        <w:t>Sr</w:t>
      </w:r>
      <w:r w:rsidRPr="00013DC1">
        <w:rPr>
          <w:rFonts w:cs="Arial"/>
          <w:vertAlign w:val="subscript"/>
          <w:lang w:val="es-MX"/>
        </w:rPr>
        <w:t>f</w:t>
      </w:r>
      <w:proofErr w:type="spellEnd"/>
      <w:r w:rsidRPr="00013DC1">
        <w:rPr>
          <w:rFonts w:cs="Arial"/>
          <w:lang w:val="es-MX"/>
        </w:rPr>
        <w:t>) solicitado. En caso contrario el ciclo secundario quedará trunco en el grado de saturación final (</w:t>
      </w:r>
      <w:proofErr w:type="spellStart"/>
      <w:r w:rsidRPr="00013DC1">
        <w:rPr>
          <w:rFonts w:cs="Arial"/>
          <w:lang w:val="es-MX"/>
        </w:rPr>
        <w:t>Sr</w:t>
      </w:r>
      <w:r w:rsidRPr="00013DC1">
        <w:rPr>
          <w:rFonts w:cs="Arial"/>
          <w:vertAlign w:val="subscript"/>
          <w:lang w:val="es-MX"/>
        </w:rPr>
        <w:t>f</w:t>
      </w:r>
      <w:proofErr w:type="spellEnd"/>
      <w:r w:rsidRPr="00013DC1">
        <w:rPr>
          <w:rFonts w:cs="Arial"/>
          <w:lang w:val="es-MX"/>
        </w:rPr>
        <w:t>) solicitado dentro del ciclo principal (ver Figs. 5 a 10).</w:t>
      </w:r>
    </w:p>
    <w:p w:rsidR="00176FD7" w:rsidRPr="00013DC1" w:rsidRDefault="00176FD7" w:rsidP="00176FD7">
      <w:pPr>
        <w:ind w:firstLine="232"/>
        <w:rPr>
          <w:rFonts w:cs="Arial"/>
          <w:lang w:val="es-MX"/>
        </w:rPr>
      </w:pPr>
      <w:r w:rsidRPr="00013DC1">
        <w:rPr>
          <w:rFonts w:cs="Arial"/>
          <w:lang w:val="es-MX"/>
        </w:rPr>
        <w:t>La Figura 4 muestra el diagrama de flujo del procedimiento propuesto para determinar los ciclos secundarios de histéresis.</w:t>
      </w:r>
    </w:p>
    <w:p w:rsidR="006A020B" w:rsidRPr="00013DC1" w:rsidRDefault="00170D51" w:rsidP="006A020B">
      <w:pPr>
        <w:pStyle w:val="Ttulo1"/>
        <w:overflowPunct w:val="0"/>
        <w:autoSpaceDE w:val="0"/>
        <w:autoSpaceDN w:val="0"/>
        <w:adjustRightInd w:val="0"/>
        <w:textAlignment w:val="baseline"/>
        <w:rPr>
          <w:lang w:val="es-MX"/>
        </w:rPr>
      </w:pPr>
      <w:r w:rsidRPr="00013DC1">
        <w:rPr>
          <w:caps w:val="0"/>
          <w:lang w:val="es-MX"/>
        </w:rPr>
        <w:t>COMPARACI</w:t>
      </w:r>
      <w:r w:rsidR="0023331C" w:rsidRPr="00013DC1">
        <w:rPr>
          <w:rFonts w:cs="Arial"/>
          <w:caps w:val="0"/>
          <w:lang w:val="es-MX"/>
        </w:rPr>
        <w:t>Ó</w:t>
      </w:r>
      <w:r w:rsidRPr="00013DC1">
        <w:rPr>
          <w:caps w:val="0"/>
          <w:lang w:val="es-MX"/>
        </w:rPr>
        <w:t>N DE LOS RESULTADOS</w:t>
      </w:r>
    </w:p>
    <w:p w:rsidR="00674D93" w:rsidRPr="00013DC1" w:rsidRDefault="009628C7" w:rsidP="005A05B6">
      <w:pPr>
        <w:pStyle w:val="PrimerParrafo"/>
      </w:pPr>
      <w:r w:rsidRPr="00013DC1">
        <w:t>Para evaluar la capacidad del procedimiento propuesto</w:t>
      </w:r>
      <w:r w:rsidR="00F42EA6" w:rsidRPr="00013DC1">
        <w:t xml:space="preserve"> que determina los ciclos secundarios de histéresis a través de la SWRC experimental, se han usado datos experimentales de </w:t>
      </w:r>
      <w:proofErr w:type="spellStart"/>
      <w:r w:rsidR="00F42EA6" w:rsidRPr="00013DC1">
        <w:t>SWRCs</w:t>
      </w:r>
      <w:proofErr w:type="spellEnd"/>
      <w:r w:rsidR="00F42EA6" w:rsidRPr="00013DC1">
        <w:t xml:space="preserve"> que han sido reportados por otros investigadores</w:t>
      </w:r>
      <w:r w:rsidR="00813DF4" w:rsidRPr="00013DC1">
        <w:t>.</w:t>
      </w:r>
      <w:r w:rsidR="00674D93" w:rsidRPr="00013DC1">
        <w:t xml:space="preserve"> Los resultados obtenidos con el procedimiento propuesto fueron comparados con los reportados por Han-</w:t>
      </w:r>
      <w:proofErr w:type="spellStart"/>
      <w:r w:rsidR="00674D93" w:rsidRPr="00013DC1">
        <w:t>Chen</w:t>
      </w:r>
      <w:proofErr w:type="spellEnd"/>
      <w:r w:rsidR="00674D93" w:rsidRPr="00013DC1">
        <w:t xml:space="preserve"> </w:t>
      </w:r>
      <w:r w:rsidR="00674D93" w:rsidRPr="00013DC1">
        <w:rPr>
          <w:i/>
        </w:rPr>
        <w:t>et al.</w:t>
      </w:r>
      <w:r w:rsidR="00674D93" w:rsidRPr="00013DC1">
        <w:t xml:space="preserve"> (2005) y </w:t>
      </w:r>
      <w:proofErr w:type="spellStart"/>
      <w:r w:rsidR="00674D93" w:rsidRPr="00013DC1">
        <w:t>Zhou</w:t>
      </w:r>
      <w:proofErr w:type="spellEnd"/>
      <w:r w:rsidR="00674D93" w:rsidRPr="00013DC1">
        <w:t xml:space="preserve"> </w:t>
      </w:r>
      <w:r w:rsidR="00674D93" w:rsidRPr="00013DC1">
        <w:rPr>
          <w:i/>
        </w:rPr>
        <w:t>et al.</w:t>
      </w:r>
      <w:r w:rsidR="00674D93" w:rsidRPr="00013DC1">
        <w:t xml:space="preserve"> (2012). La desviación media absoluta  (</w:t>
      </w:r>
      <w:proofErr w:type="spellStart"/>
      <w:r w:rsidR="00674D93" w:rsidRPr="00013DC1">
        <w:t>E</w:t>
      </w:r>
      <w:r w:rsidR="00674D93" w:rsidRPr="00013DC1">
        <w:rPr>
          <w:vertAlign w:val="subscript"/>
        </w:rPr>
        <w:t>m</w:t>
      </w:r>
      <w:proofErr w:type="spellEnd"/>
      <w:r w:rsidR="00674D93" w:rsidRPr="00013DC1">
        <w:t>) se utilizó para revisar la calidad de los tres procedimientos, ésta es definida como:</w:t>
      </w:r>
    </w:p>
    <w:p w:rsidR="00674D93" w:rsidRPr="00013DC1" w:rsidRDefault="00674D93" w:rsidP="00674D93">
      <w:pPr>
        <w:pStyle w:val="Ecuacion"/>
      </w:pPr>
      <w:r w:rsidRPr="00013DC1">
        <w:t xml:space="preserve"> </w:t>
      </w:r>
      <w:r w:rsidRPr="00013DC1">
        <w:rPr>
          <w:position w:val="-30"/>
        </w:rPr>
        <w:object w:dxaOrig="1440" w:dyaOrig="740">
          <v:shape id="_x0000_i1037" type="#_x0000_t75" style="width:1in;height:37.35pt" o:ole="">
            <v:imagedata r:id="rId49" o:title=""/>
          </v:shape>
          <o:OLEObject Type="Embed" ProgID="Equation.3" ShapeID="_x0000_i1037" DrawAspect="Content" ObjectID="_1470773577" r:id="rId50"/>
        </w:object>
      </w:r>
      <w:r w:rsidRPr="00013DC1">
        <w:tab/>
        <w:t>(13)</w:t>
      </w:r>
    </w:p>
    <w:p w:rsidR="00591DB0" w:rsidRPr="00013DC1" w:rsidRDefault="008532FD" w:rsidP="00F42EA6">
      <w:pPr>
        <w:rPr>
          <w:lang w:val="es-MX"/>
        </w:rPr>
      </w:pPr>
      <w:r w:rsidRPr="00013DC1">
        <w:rPr>
          <w:lang w:val="es-MX"/>
        </w:rPr>
        <w:t>Han-</w:t>
      </w:r>
      <w:proofErr w:type="spellStart"/>
      <w:r w:rsidRPr="00013DC1">
        <w:rPr>
          <w:lang w:val="es-MX"/>
        </w:rPr>
        <w:t>Chen</w:t>
      </w:r>
      <w:proofErr w:type="spellEnd"/>
      <w:r w:rsidRPr="00013DC1">
        <w:rPr>
          <w:lang w:val="es-MX"/>
        </w:rPr>
        <w:t xml:space="preserve"> </w:t>
      </w:r>
      <w:r w:rsidRPr="00013DC1">
        <w:rPr>
          <w:i/>
          <w:lang w:val="es-MX"/>
        </w:rPr>
        <w:t>et al.</w:t>
      </w:r>
      <w:r w:rsidRPr="00013DC1">
        <w:rPr>
          <w:lang w:val="es-MX"/>
        </w:rPr>
        <w:t xml:space="preserve"> (2005) determinaron una SWRC de una muestra de arena compactada por vibración utilizando un permeámetro de carga variable. Usaron tensiómetros y </w:t>
      </w:r>
      <w:proofErr w:type="spellStart"/>
      <w:r w:rsidRPr="00013DC1">
        <w:rPr>
          <w:lang w:val="es-MX"/>
        </w:rPr>
        <w:t>reflectómetros</w:t>
      </w:r>
      <w:proofErr w:type="spellEnd"/>
      <w:r w:rsidRPr="00013DC1">
        <w:rPr>
          <w:lang w:val="es-MX"/>
        </w:rPr>
        <w:t xml:space="preserve"> para medir la succión </w:t>
      </w:r>
      <w:proofErr w:type="spellStart"/>
      <w:r w:rsidRPr="00013DC1">
        <w:rPr>
          <w:lang w:val="es-MX"/>
        </w:rPr>
        <w:t>matrica</w:t>
      </w:r>
      <w:proofErr w:type="spellEnd"/>
      <w:r w:rsidRPr="00013DC1">
        <w:rPr>
          <w:lang w:val="es-MX"/>
        </w:rPr>
        <w:t xml:space="preserve"> y su contenido de agua en la misma posición dentro del espécimen de suelo.</w:t>
      </w:r>
    </w:p>
    <w:p w:rsidR="009A7244" w:rsidRPr="00013DC1" w:rsidRDefault="009A7244" w:rsidP="00AF3375">
      <w:pPr>
        <w:ind w:firstLine="0"/>
        <w:rPr>
          <w:lang w:val="es-MX"/>
        </w:rPr>
      </w:pPr>
    </w:p>
    <w:p w:rsidR="005224C5" w:rsidRPr="00013DC1" w:rsidRDefault="00AF3375" w:rsidP="00E06A7E">
      <w:pPr>
        <w:ind w:firstLine="0"/>
        <w:rPr>
          <w:szCs w:val="18"/>
          <w:lang w:val="es-MX"/>
        </w:rPr>
      </w:pPr>
      <w:r w:rsidRPr="00013DC1">
        <w:rPr>
          <w:noProof/>
          <w:sz w:val="18"/>
          <w:szCs w:val="18"/>
          <w:lang w:val="es-MX" w:eastAsia="es-MX"/>
        </w:rPr>
        <w:drawing>
          <wp:anchor distT="0" distB="0" distL="114300" distR="114300" simplePos="0" relativeHeight="251671552" behindDoc="0" locked="0" layoutInCell="1" allowOverlap="1" wp14:anchorId="472C9A64" wp14:editId="152BCC5E">
            <wp:simplePos x="0" y="0"/>
            <wp:positionH relativeFrom="margin">
              <wp:align>left</wp:align>
            </wp:positionH>
            <wp:positionV relativeFrom="paragraph">
              <wp:posOffset>143717</wp:posOffset>
            </wp:positionV>
            <wp:extent cx="2959100" cy="2124710"/>
            <wp:effectExtent l="0" t="0" r="0" b="8890"/>
            <wp:wrapTopAndBottom/>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59100" cy="2124710"/>
                    </a:xfrm>
                    <a:prstGeom prst="rect">
                      <a:avLst/>
                    </a:prstGeom>
                    <a:noFill/>
                  </pic:spPr>
                </pic:pic>
              </a:graphicData>
            </a:graphic>
          </wp:anchor>
        </w:drawing>
      </w:r>
    </w:p>
    <w:p w:rsidR="00E06A7E" w:rsidRPr="00013DC1" w:rsidRDefault="00E06A7E" w:rsidP="00E06A7E">
      <w:pPr>
        <w:ind w:firstLine="0"/>
        <w:rPr>
          <w:sz w:val="18"/>
          <w:lang w:val="es-MX"/>
        </w:rPr>
      </w:pPr>
      <w:r w:rsidRPr="00013DC1">
        <w:rPr>
          <w:sz w:val="18"/>
          <w:lang w:val="es-MX"/>
        </w:rPr>
        <w:t xml:space="preserve">Figura 5. </w:t>
      </w:r>
      <w:r w:rsidR="009A7244" w:rsidRPr="00013DC1">
        <w:rPr>
          <w:sz w:val="18"/>
          <w:lang w:val="es-MX"/>
        </w:rPr>
        <w:t>SWRC de</w:t>
      </w:r>
      <w:r w:rsidR="0025726B" w:rsidRPr="00013DC1">
        <w:rPr>
          <w:sz w:val="18"/>
          <w:lang w:val="es-MX"/>
        </w:rPr>
        <w:t xml:space="preserve"> Han-</w:t>
      </w:r>
      <w:proofErr w:type="spellStart"/>
      <w:r w:rsidR="0025726B" w:rsidRPr="00013DC1">
        <w:rPr>
          <w:sz w:val="18"/>
          <w:lang w:val="es-MX"/>
        </w:rPr>
        <w:t>Chen</w:t>
      </w:r>
      <w:proofErr w:type="spellEnd"/>
      <w:r w:rsidR="0025726B" w:rsidRPr="00013DC1">
        <w:rPr>
          <w:sz w:val="18"/>
          <w:lang w:val="es-MX"/>
        </w:rPr>
        <w:t xml:space="preserve"> </w:t>
      </w:r>
      <w:r w:rsidR="0025726B" w:rsidRPr="00013DC1">
        <w:rPr>
          <w:i/>
          <w:sz w:val="18"/>
          <w:lang w:val="es-MX"/>
        </w:rPr>
        <w:t>et al.</w:t>
      </w:r>
      <w:r w:rsidR="0025726B" w:rsidRPr="00013DC1">
        <w:rPr>
          <w:sz w:val="18"/>
          <w:lang w:val="es-MX"/>
        </w:rPr>
        <w:t xml:space="preserve"> </w:t>
      </w:r>
      <w:r w:rsidR="00C16796" w:rsidRPr="00013DC1">
        <w:rPr>
          <w:sz w:val="18"/>
          <w:lang w:val="es-MX"/>
        </w:rPr>
        <w:t>(</w:t>
      </w:r>
      <w:r w:rsidR="0025726B" w:rsidRPr="00013DC1">
        <w:rPr>
          <w:sz w:val="18"/>
          <w:lang w:val="es-MX"/>
        </w:rPr>
        <w:t>2005)</w:t>
      </w:r>
      <w:r w:rsidRPr="00013DC1">
        <w:rPr>
          <w:sz w:val="18"/>
          <w:lang w:val="es-MX"/>
        </w:rPr>
        <w:t xml:space="preserve"> vs predicción de los ciclos de </w:t>
      </w:r>
      <w:r w:rsidR="008558A2" w:rsidRPr="00013DC1">
        <w:rPr>
          <w:sz w:val="18"/>
          <w:lang w:val="es-MX"/>
        </w:rPr>
        <w:t xml:space="preserve">histéresis </w:t>
      </w:r>
      <w:r w:rsidR="0025726B" w:rsidRPr="00013DC1">
        <w:rPr>
          <w:sz w:val="18"/>
          <w:lang w:val="es-MX"/>
        </w:rPr>
        <w:t>con el</w:t>
      </w:r>
      <w:r w:rsidR="008558A2" w:rsidRPr="00013DC1">
        <w:rPr>
          <w:sz w:val="18"/>
          <w:lang w:val="es-MX"/>
        </w:rPr>
        <w:t xml:space="preserve"> método de Han-</w:t>
      </w:r>
      <w:proofErr w:type="spellStart"/>
      <w:r w:rsidR="008558A2" w:rsidRPr="00013DC1">
        <w:rPr>
          <w:sz w:val="18"/>
          <w:lang w:val="es-MX"/>
        </w:rPr>
        <w:t>Chen</w:t>
      </w:r>
      <w:proofErr w:type="spellEnd"/>
      <w:r w:rsidR="008558A2" w:rsidRPr="00013DC1">
        <w:rPr>
          <w:sz w:val="18"/>
          <w:lang w:val="es-MX"/>
        </w:rPr>
        <w:t xml:space="preserve"> </w:t>
      </w:r>
      <w:r w:rsidR="008558A2" w:rsidRPr="00013DC1">
        <w:rPr>
          <w:i/>
          <w:sz w:val="18"/>
          <w:lang w:val="es-MX"/>
        </w:rPr>
        <w:t>et al.</w:t>
      </w:r>
      <w:r w:rsidR="008558A2" w:rsidRPr="00013DC1">
        <w:rPr>
          <w:sz w:val="18"/>
          <w:lang w:val="es-MX"/>
        </w:rPr>
        <w:t xml:space="preserve"> (2005)</w:t>
      </w:r>
      <w:r w:rsidRPr="00013DC1">
        <w:rPr>
          <w:sz w:val="18"/>
          <w:lang w:val="es-MX"/>
        </w:rPr>
        <w:t>.</w:t>
      </w:r>
    </w:p>
    <w:p w:rsidR="008558A2" w:rsidRPr="00013DC1" w:rsidRDefault="008558A2" w:rsidP="00E06A7E">
      <w:pPr>
        <w:ind w:firstLine="0"/>
        <w:rPr>
          <w:lang w:val="es-MX"/>
        </w:rPr>
      </w:pPr>
    </w:p>
    <w:p w:rsidR="008558A2" w:rsidRPr="00013DC1" w:rsidRDefault="008558A2" w:rsidP="00E06A7E">
      <w:pPr>
        <w:ind w:firstLine="0"/>
        <w:rPr>
          <w:lang w:val="es-MX"/>
        </w:rPr>
      </w:pPr>
      <w:r w:rsidRPr="00013DC1">
        <w:rPr>
          <w:sz w:val="18"/>
          <w:lang w:val="es-MX"/>
        </w:rPr>
        <w:t xml:space="preserve">Figura 6. </w:t>
      </w:r>
      <w:r w:rsidR="0025726B" w:rsidRPr="00013DC1">
        <w:rPr>
          <w:sz w:val="18"/>
          <w:lang w:val="es-MX"/>
        </w:rPr>
        <w:t>SWRC de Han-</w:t>
      </w:r>
      <w:proofErr w:type="spellStart"/>
      <w:r w:rsidR="0025726B" w:rsidRPr="00013DC1">
        <w:rPr>
          <w:sz w:val="18"/>
          <w:lang w:val="es-MX"/>
        </w:rPr>
        <w:t>Chen</w:t>
      </w:r>
      <w:proofErr w:type="spellEnd"/>
      <w:r w:rsidR="0025726B" w:rsidRPr="00013DC1">
        <w:rPr>
          <w:sz w:val="18"/>
          <w:lang w:val="es-MX"/>
        </w:rPr>
        <w:t xml:space="preserve"> </w:t>
      </w:r>
      <w:r w:rsidR="0025726B" w:rsidRPr="00013DC1">
        <w:rPr>
          <w:i/>
          <w:sz w:val="18"/>
          <w:lang w:val="es-MX"/>
        </w:rPr>
        <w:t>et al.</w:t>
      </w:r>
      <w:r w:rsidR="0025726B" w:rsidRPr="00013DC1">
        <w:rPr>
          <w:sz w:val="18"/>
          <w:lang w:val="es-MX"/>
        </w:rPr>
        <w:t xml:space="preserve"> </w:t>
      </w:r>
      <w:r w:rsidR="00C16796" w:rsidRPr="00013DC1">
        <w:rPr>
          <w:sz w:val="18"/>
          <w:lang w:val="es-MX"/>
        </w:rPr>
        <w:t>(</w:t>
      </w:r>
      <w:r w:rsidR="0025726B" w:rsidRPr="00013DC1">
        <w:rPr>
          <w:sz w:val="18"/>
          <w:lang w:val="es-MX"/>
        </w:rPr>
        <w:t>2005)</w:t>
      </w:r>
      <w:r w:rsidRPr="00013DC1">
        <w:rPr>
          <w:sz w:val="18"/>
          <w:lang w:val="es-MX"/>
        </w:rPr>
        <w:t xml:space="preserve"> vs predicción de los ciclos de histéresis </w:t>
      </w:r>
      <w:r w:rsidR="0025726B" w:rsidRPr="00013DC1">
        <w:rPr>
          <w:sz w:val="18"/>
          <w:lang w:val="es-MX"/>
        </w:rPr>
        <w:t>con el</w:t>
      </w:r>
      <w:r w:rsidRPr="00013DC1">
        <w:rPr>
          <w:sz w:val="18"/>
          <w:lang w:val="es-MX"/>
        </w:rPr>
        <w:t xml:space="preserve"> método de </w:t>
      </w:r>
      <w:proofErr w:type="spellStart"/>
      <w:r w:rsidRPr="00013DC1">
        <w:rPr>
          <w:sz w:val="18"/>
          <w:lang w:val="es-MX"/>
        </w:rPr>
        <w:t>Zhou</w:t>
      </w:r>
      <w:proofErr w:type="spellEnd"/>
      <w:r w:rsidRPr="00013DC1">
        <w:rPr>
          <w:sz w:val="18"/>
          <w:lang w:val="es-MX"/>
        </w:rPr>
        <w:t xml:space="preserve"> </w:t>
      </w:r>
      <w:r w:rsidRPr="00013DC1">
        <w:rPr>
          <w:i/>
          <w:sz w:val="18"/>
          <w:lang w:val="es-MX"/>
        </w:rPr>
        <w:t>et al.</w:t>
      </w:r>
      <w:r w:rsidRPr="00013DC1">
        <w:rPr>
          <w:sz w:val="18"/>
          <w:lang w:val="es-MX"/>
        </w:rPr>
        <w:t xml:space="preserve"> (2012).</w:t>
      </w:r>
    </w:p>
    <w:p w:rsidR="00E06A7E" w:rsidRPr="00013DC1" w:rsidRDefault="00544252" w:rsidP="007471E7">
      <w:pPr>
        <w:ind w:firstLine="0"/>
        <w:rPr>
          <w:lang w:val="es-MX"/>
        </w:rPr>
      </w:pPr>
      <w:r w:rsidRPr="00013DC1">
        <w:rPr>
          <w:noProof/>
          <w:sz w:val="22"/>
          <w:lang w:val="es-MX" w:eastAsia="es-MX"/>
        </w:rPr>
        <w:drawing>
          <wp:anchor distT="0" distB="0" distL="114300" distR="114300" simplePos="0" relativeHeight="251674624" behindDoc="0" locked="0" layoutInCell="1" allowOverlap="1" wp14:anchorId="1F655BF6" wp14:editId="0E85B08E">
            <wp:simplePos x="0" y="0"/>
            <wp:positionH relativeFrom="column">
              <wp:align>right</wp:align>
            </wp:positionH>
            <wp:positionV relativeFrom="paragraph">
              <wp:posOffset>295201</wp:posOffset>
            </wp:positionV>
            <wp:extent cx="2959200" cy="2125296"/>
            <wp:effectExtent l="0" t="0" r="0" b="8890"/>
            <wp:wrapTopAndBottom/>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959200" cy="2125296"/>
                    </a:xfrm>
                    <a:prstGeom prst="rect">
                      <a:avLst/>
                    </a:prstGeom>
                    <a:noFill/>
                  </pic:spPr>
                </pic:pic>
              </a:graphicData>
            </a:graphic>
          </wp:anchor>
        </w:drawing>
      </w:r>
    </w:p>
    <w:p w:rsidR="007471E7" w:rsidRPr="00013DC1" w:rsidRDefault="007471E7" w:rsidP="007471E7">
      <w:pPr>
        <w:ind w:firstLine="0"/>
        <w:rPr>
          <w:lang w:val="es-MX"/>
        </w:rPr>
      </w:pPr>
    </w:p>
    <w:p w:rsidR="007471E7" w:rsidRPr="00013DC1" w:rsidRDefault="007471E7" w:rsidP="007471E7">
      <w:pPr>
        <w:ind w:firstLine="0"/>
        <w:rPr>
          <w:lang w:val="es-MX"/>
        </w:rPr>
      </w:pPr>
      <w:r w:rsidRPr="00013DC1">
        <w:rPr>
          <w:sz w:val="18"/>
          <w:lang w:val="es-MX"/>
        </w:rPr>
        <w:t xml:space="preserve">Figura 7. </w:t>
      </w:r>
      <w:r w:rsidR="0025726B" w:rsidRPr="00013DC1">
        <w:rPr>
          <w:sz w:val="18"/>
          <w:lang w:val="es-MX"/>
        </w:rPr>
        <w:t>SWRC de Han-</w:t>
      </w:r>
      <w:proofErr w:type="spellStart"/>
      <w:r w:rsidR="0025726B" w:rsidRPr="00013DC1">
        <w:rPr>
          <w:sz w:val="18"/>
          <w:lang w:val="es-MX"/>
        </w:rPr>
        <w:t>Chen</w:t>
      </w:r>
      <w:proofErr w:type="spellEnd"/>
      <w:r w:rsidR="0025726B" w:rsidRPr="00013DC1">
        <w:rPr>
          <w:sz w:val="18"/>
          <w:lang w:val="es-MX"/>
        </w:rPr>
        <w:t xml:space="preserve"> </w:t>
      </w:r>
      <w:r w:rsidR="0025726B" w:rsidRPr="00013DC1">
        <w:rPr>
          <w:i/>
          <w:sz w:val="18"/>
          <w:lang w:val="es-MX"/>
        </w:rPr>
        <w:t>et al.</w:t>
      </w:r>
      <w:r w:rsidR="0025726B" w:rsidRPr="00013DC1">
        <w:rPr>
          <w:sz w:val="18"/>
          <w:lang w:val="es-MX"/>
        </w:rPr>
        <w:t xml:space="preserve"> </w:t>
      </w:r>
      <w:r w:rsidR="00C16796" w:rsidRPr="00013DC1">
        <w:rPr>
          <w:sz w:val="18"/>
          <w:lang w:val="es-MX"/>
        </w:rPr>
        <w:t>(</w:t>
      </w:r>
      <w:r w:rsidR="0025726B" w:rsidRPr="00013DC1">
        <w:rPr>
          <w:sz w:val="18"/>
          <w:lang w:val="es-MX"/>
        </w:rPr>
        <w:t>2005) vs predicción de los ciclos de histéresis con el</w:t>
      </w:r>
      <w:r w:rsidRPr="00013DC1">
        <w:rPr>
          <w:sz w:val="18"/>
          <w:lang w:val="es-MX"/>
        </w:rPr>
        <w:t xml:space="preserve"> procedimiento propuesto.</w:t>
      </w:r>
    </w:p>
    <w:p w:rsidR="007471E7" w:rsidRPr="00013DC1" w:rsidRDefault="007471E7" w:rsidP="00A91890">
      <w:pPr>
        <w:ind w:firstLine="0"/>
        <w:rPr>
          <w:lang w:val="es-MX"/>
        </w:rPr>
      </w:pPr>
    </w:p>
    <w:p w:rsidR="00577839" w:rsidRPr="00013DC1" w:rsidRDefault="00AF3375" w:rsidP="00B6048D">
      <w:pPr>
        <w:ind w:firstLine="232"/>
        <w:rPr>
          <w:sz w:val="18"/>
          <w:lang w:val="es-MX"/>
        </w:rPr>
      </w:pPr>
      <w:r w:rsidRPr="00013DC1">
        <w:rPr>
          <w:lang w:val="es-MX"/>
        </w:rPr>
        <w:t>Las figuras 5 a 7 ilustran la SWRC experimental determinada por Han-</w:t>
      </w:r>
      <w:proofErr w:type="spellStart"/>
      <w:r w:rsidRPr="00013DC1">
        <w:rPr>
          <w:lang w:val="es-MX"/>
        </w:rPr>
        <w:t>Chen</w:t>
      </w:r>
      <w:proofErr w:type="spellEnd"/>
      <w:r w:rsidRPr="00013DC1">
        <w:rPr>
          <w:lang w:val="es-MX"/>
        </w:rPr>
        <w:t xml:space="preserve"> </w:t>
      </w:r>
      <w:r w:rsidRPr="00013DC1">
        <w:rPr>
          <w:i/>
          <w:lang w:val="es-MX"/>
        </w:rPr>
        <w:t>et al.</w:t>
      </w:r>
      <w:r w:rsidRPr="00013DC1">
        <w:rPr>
          <w:lang w:val="es-MX"/>
        </w:rPr>
        <w:t xml:space="preserve"> (2005) contra la predicción de los ciclos de histéresis utilizando los métodos de Han-</w:t>
      </w:r>
      <w:proofErr w:type="spellStart"/>
      <w:r w:rsidRPr="00013DC1">
        <w:rPr>
          <w:lang w:val="es-MX"/>
        </w:rPr>
        <w:t>Chen</w:t>
      </w:r>
      <w:proofErr w:type="spellEnd"/>
      <w:r w:rsidRPr="00013DC1">
        <w:rPr>
          <w:lang w:val="es-MX"/>
        </w:rPr>
        <w:t xml:space="preserve"> et al. (2005), </w:t>
      </w:r>
      <w:proofErr w:type="spellStart"/>
      <w:r w:rsidRPr="00013DC1">
        <w:rPr>
          <w:lang w:val="es-MX"/>
        </w:rPr>
        <w:t>Zhou</w:t>
      </w:r>
      <w:proofErr w:type="spellEnd"/>
      <w:r w:rsidRPr="00013DC1">
        <w:rPr>
          <w:lang w:val="es-MX"/>
        </w:rPr>
        <w:t xml:space="preserve"> </w:t>
      </w:r>
      <w:r w:rsidRPr="00013DC1">
        <w:rPr>
          <w:i/>
          <w:lang w:val="es-MX"/>
        </w:rPr>
        <w:t>et al.</w:t>
      </w:r>
      <w:r w:rsidRPr="00013DC1">
        <w:rPr>
          <w:lang w:val="es-MX"/>
        </w:rPr>
        <w:t xml:space="preserve"> (2012) y el procedimiento propuesto respectivamente. </w:t>
      </w:r>
    </w:p>
    <w:p w:rsidR="004F312D" w:rsidRPr="00013DC1" w:rsidRDefault="004F312D" w:rsidP="00A91890">
      <w:pPr>
        <w:ind w:firstLine="0"/>
        <w:rPr>
          <w:sz w:val="18"/>
          <w:lang w:val="es-MX"/>
        </w:rPr>
      </w:pPr>
    </w:p>
    <w:p w:rsidR="00A91890" w:rsidRPr="00013DC1" w:rsidRDefault="00463F04" w:rsidP="00A91890">
      <w:pPr>
        <w:ind w:firstLine="0"/>
        <w:rPr>
          <w:sz w:val="18"/>
          <w:lang w:val="es-MX"/>
        </w:rPr>
      </w:pPr>
      <w:r w:rsidRPr="00013DC1">
        <w:rPr>
          <w:sz w:val="18"/>
          <w:lang w:val="es-MX"/>
        </w:rPr>
        <w:t xml:space="preserve">Tabla 1. </w:t>
      </w:r>
      <w:r w:rsidR="00D22742" w:rsidRPr="00013DC1">
        <w:rPr>
          <w:sz w:val="18"/>
          <w:lang w:val="es-MX"/>
        </w:rPr>
        <w:t>Desviaciones medias absolutas (</w:t>
      </w:r>
      <w:proofErr w:type="spellStart"/>
      <w:r w:rsidR="00D22742" w:rsidRPr="00013DC1">
        <w:rPr>
          <w:sz w:val="18"/>
          <w:lang w:val="es-MX"/>
        </w:rPr>
        <w:t>E</w:t>
      </w:r>
      <w:r w:rsidR="00D22742" w:rsidRPr="00013DC1">
        <w:rPr>
          <w:sz w:val="18"/>
          <w:vertAlign w:val="subscript"/>
          <w:lang w:val="es-MX"/>
        </w:rPr>
        <w:t>m</w:t>
      </w:r>
      <w:proofErr w:type="spellEnd"/>
      <w:r w:rsidR="00D22742" w:rsidRPr="00013DC1">
        <w:rPr>
          <w:sz w:val="18"/>
          <w:lang w:val="es-MX"/>
        </w:rPr>
        <w:t>) entre resultados experimentales y los obtenidos con los tres métodos</w:t>
      </w:r>
      <w:r w:rsidR="00D91912" w:rsidRPr="00013DC1">
        <w:rPr>
          <w:sz w:val="18"/>
          <w:lang w:val="es-MX"/>
        </w:rPr>
        <w:t xml:space="preserve"> usando la SWRC de Han-</w:t>
      </w:r>
      <w:proofErr w:type="spellStart"/>
      <w:r w:rsidR="00D91912" w:rsidRPr="00013DC1">
        <w:rPr>
          <w:sz w:val="18"/>
          <w:lang w:val="es-MX"/>
        </w:rPr>
        <w:t>Chen</w:t>
      </w:r>
      <w:proofErr w:type="spellEnd"/>
      <w:r w:rsidR="00D91912" w:rsidRPr="00013DC1">
        <w:rPr>
          <w:sz w:val="18"/>
          <w:lang w:val="es-MX"/>
        </w:rPr>
        <w:t xml:space="preserve"> </w:t>
      </w:r>
      <w:r w:rsidR="00D91912" w:rsidRPr="00013DC1">
        <w:rPr>
          <w:i/>
          <w:sz w:val="18"/>
          <w:lang w:val="es-MX"/>
        </w:rPr>
        <w:t>et al</w:t>
      </w:r>
      <w:r w:rsidR="00D91912" w:rsidRPr="00013DC1">
        <w:rPr>
          <w:sz w:val="18"/>
          <w:lang w:val="es-MX"/>
        </w:rPr>
        <w:t>. (2005)</w:t>
      </w:r>
      <w:r w:rsidR="00D22742" w:rsidRPr="00013DC1">
        <w:rPr>
          <w:sz w:val="18"/>
          <w:lang w:val="es-MX"/>
        </w:rPr>
        <w:t>.</w:t>
      </w:r>
    </w:p>
    <w:tbl>
      <w:tblPr>
        <w:tblStyle w:val="Tablaconcuadrcula"/>
        <w:tblW w:w="4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134"/>
        <w:gridCol w:w="1134"/>
        <w:gridCol w:w="1023"/>
      </w:tblGrid>
      <w:tr w:rsidR="009336B4" w:rsidRPr="00013DC1" w:rsidTr="009336B4">
        <w:tc>
          <w:tcPr>
            <w:tcW w:w="1413" w:type="dxa"/>
            <w:vMerge w:val="restart"/>
            <w:tcBorders>
              <w:top w:val="single" w:sz="4" w:space="0" w:color="auto"/>
            </w:tcBorders>
            <w:vAlign w:val="center"/>
          </w:tcPr>
          <w:p w:rsidR="009336B4" w:rsidRPr="00013DC1" w:rsidRDefault="009336B4" w:rsidP="00463F04">
            <w:pPr>
              <w:ind w:left="-57" w:firstLine="0"/>
              <w:jc w:val="left"/>
              <w:rPr>
                <w:rFonts w:cs="Arial"/>
                <w:sz w:val="16"/>
                <w:szCs w:val="16"/>
                <w:lang w:val="es-MX"/>
              </w:rPr>
            </w:pPr>
            <w:r w:rsidRPr="00013DC1">
              <w:rPr>
                <w:rFonts w:cs="Arial"/>
                <w:sz w:val="16"/>
                <w:szCs w:val="16"/>
                <w:lang w:val="es-MX"/>
              </w:rPr>
              <w:t xml:space="preserve">SWRC </w:t>
            </w:r>
          </w:p>
          <w:p w:rsidR="009336B4" w:rsidRPr="00013DC1" w:rsidRDefault="009336B4" w:rsidP="00463F04">
            <w:pPr>
              <w:ind w:left="-57" w:firstLine="0"/>
              <w:jc w:val="left"/>
              <w:rPr>
                <w:rFonts w:cs="Arial"/>
                <w:sz w:val="16"/>
                <w:szCs w:val="16"/>
                <w:lang w:val="es-MX"/>
              </w:rPr>
            </w:pPr>
            <w:r w:rsidRPr="00013DC1">
              <w:rPr>
                <w:rFonts w:cs="Arial"/>
                <w:sz w:val="16"/>
                <w:szCs w:val="16"/>
                <w:lang w:val="es-MX"/>
              </w:rPr>
              <w:t>Han-</w:t>
            </w:r>
            <w:proofErr w:type="spellStart"/>
            <w:r w:rsidRPr="00013DC1">
              <w:rPr>
                <w:rFonts w:cs="Arial"/>
                <w:sz w:val="16"/>
                <w:szCs w:val="16"/>
                <w:lang w:val="es-MX"/>
              </w:rPr>
              <w:t>Chen</w:t>
            </w:r>
            <w:proofErr w:type="spellEnd"/>
          </w:p>
        </w:tc>
        <w:tc>
          <w:tcPr>
            <w:tcW w:w="3291" w:type="dxa"/>
            <w:gridSpan w:val="3"/>
            <w:tcBorders>
              <w:top w:val="single" w:sz="4" w:space="0" w:color="auto"/>
            </w:tcBorders>
            <w:vAlign w:val="center"/>
          </w:tcPr>
          <w:p w:rsidR="009336B4" w:rsidRPr="00013DC1" w:rsidRDefault="009336B4" w:rsidP="00A91890">
            <w:pPr>
              <w:ind w:firstLine="0"/>
              <w:jc w:val="center"/>
              <w:rPr>
                <w:rFonts w:cs="Arial"/>
                <w:sz w:val="16"/>
                <w:szCs w:val="16"/>
                <w:lang w:val="es-MX"/>
              </w:rPr>
            </w:pPr>
            <w:r w:rsidRPr="00013DC1">
              <w:rPr>
                <w:rFonts w:cs="Arial"/>
                <w:sz w:val="16"/>
                <w:szCs w:val="16"/>
                <w:lang w:val="es-MX"/>
              </w:rPr>
              <w:t>Procedimiento</w:t>
            </w:r>
          </w:p>
        </w:tc>
      </w:tr>
      <w:tr w:rsidR="009336B4" w:rsidRPr="00013DC1" w:rsidTr="009336B4">
        <w:tc>
          <w:tcPr>
            <w:tcW w:w="1413" w:type="dxa"/>
            <w:vMerge/>
          </w:tcPr>
          <w:p w:rsidR="009336B4" w:rsidRPr="00013DC1" w:rsidRDefault="009336B4" w:rsidP="00463F04">
            <w:pPr>
              <w:ind w:left="-57" w:firstLine="0"/>
              <w:rPr>
                <w:rFonts w:cs="Arial"/>
                <w:sz w:val="16"/>
                <w:szCs w:val="16"/>
                <w:lang w:val="es-MX"/>
              </w:rPr>
            </w:pPr>
          </w:p>
        </w:tc>
        <w:tc>
          <w:tcPr>
            <w:tcW w:w="1134" w:type="dxa"/>
            <w:vAlign w:val="center"/>
          </w:tcPr>
          <w:p w:rsidR="009336B4" w:rsidRPr="00013DC1" w:rsidRDefault="009336B4" w:rsidP="00A91890">
            <w:pPr>
              <w:ind w:firstLine="0"/>
              <w:jc w:val="center"/>
              <w:rPr>
                <w:rFonts w:cs="Arial"/>
                <w:sz w:val="16"/>
                <w:szCs w:val="16"/>
                <w:lang w:val="es-MX"/>
              </w:rPr>
            </w:pPr>
            <w:r w:rsidRPr="00013DC1">
              <w:rPr>
                <w:rFonts w:cs="Arial"/>
                <w:sz w:val="16"/>
                <w:szCs w:val="16"/>
                <w:lang w:val="es-MX"/>
              </w:rPr>
              <w:t>Han-</w:t>
            </w:r>
            <w:proofErr w:type="spellStart"/>
            <w:r w:rsidRPr="00013DC1">
              <w:rPr>
                <w:rFonts w:cs="Arial"/>
                <w:sz w:val="16"/>
                <w:szCs w:val="16"/>
                <w:lang w:val="es-MX"/>
              </w:rPr>
              <w:t>Chen</w:t>
            </w:r>
            <w:proofErr w:type="spellEnd"/>
          </w:p>
        </w:tc>
        <w:tc>
          <w:tcPr>
            <w:tcW w:w="1134" w:type="dxa"/>
            <w:vAlign w:val="center"/>
          </w:tcPr>
          <w:p w:rsidR="009336B4" w:rsidRPr="00013DC1" w:rsidRDefault="009336B4" w:rsidP="00A91890">
            <w:pPr>
              <w:ind w:firstLine="0"/>
              <w:jc w:val="center"/>
              <w:rPr>
                <w:rFonts w:cs="Arial"/>
                <w:sz w:val="16"/>
                <w:szCs w:val="16"/>
                <w:lang w:val="es-MX"/>
              </w:rPr>
            </w:pPr>
            <w:proofErr w:type="spellStart"/>
            <w:r w:rsidRPr="00013DC1">
              <w:rPr>
                <w:rFonts w:cs="Arial"/>
                <w:sz w:val="16"/>
                <w:szCs w:val="16"/>
                <w:lang w:val="es-MX"/>
              </w:rPr>
              <w:t>Zhou</w:t>
            </w:r>
            <w:proofErr w:type="spellEnd"/>
          </w:p>
        </w:tc>
        <w:tc>
          <w:tcPr>
            <w:tcW w:w="1023" w:type="dxa"/>
            <w:vAlign w:val="center"/>
          </w:tcPr>
          <w:p w:rsidR="009336B4" w:rsidRPr="00013DC1" w:rsidRDefault="009336B4" w:rsidP="00A91890">
            <w:pPr>
              <w:ind w:firstLine="0"/>
              <w:jc w:val="center"/>
              <w:rPr>
                <w:rFonts w:cs="Arial"/>
                <w:sz w:val="16"/>
                <w:szCs w:val="16"/>
                <w:lang w:val="es-MX"/>
              </w:rPr>
            </w:pPr>
            <w:r w:rsidRPr="00013DC1">
              <w:rPr>
                <w:rFonts w:cs="Arial"/>
                <w:sz w:val="16"/>
                <w:szCs w:val="16"/>
                <w:lang w:val="es-MX"/>
              </w:rPr>
              <w:t>Propuesto</w:t>
            </w:r>
          </w:p>
        </w:tc>
      </w:tr>
      <w:tr w:rsidR="009336B4" w:rsidRPr="00013DC1" w:rsidTr="009336B4">
        <w:tc>
          <w:tcPr>
            <w:tcW w:w="1413" w:type="dxa"/>
            <w:tcBorders>
              <w:bottom w:val="single" w:sz="4" w:space="0" w:color="auto"/>
            </w:tcBorders>
            <w:vAlign w:val="center"/>
          </w:tcPr>
          <w:p w:rsidR="009336B4" w:rsidRPr="00013DC1" w:rsidRDefault="009336B4" w:rsidP="00463F04">
            <w:pPr>
              <w:ind w:left="-57" w:firstLine="0"/>
              <w:jc w:val="left"/>
              <w:rPr>
                <w:rFonts w:cs="Arial"/>
                <w:sz w:val="16"/>
                <w:szCs w:val="16"/>
                <w:lang w:val="es-MX"/>
              </w:rPr>
            </w:pPr>
            <w:r w:rsidRPr="00013DC1">
              <w:rPr>
                <w:rFonts w:cs="Arial"/>
                <w:sz w:val="16"/>
                <w:szCs w:val="16"/>
                <w:lang w:val="es-MX"/>
              </w:rPr>
              <w:t>Ciclo</w:t>
            </w:r>
          </w:p>
        </w:tc>
        <w:tc>
          <w:tcPr>
            <w:tcW w:w="1134" w:type="dxa"/>
            <w:tcBorders>
              <w:bottom w:val="single" w:sz="4" w:space="0" w:color="auto"/>
            </w:tcBorders>
            <w:vAlign w:val="center"/>
          </w:tcPr>
          <w:p w:rsidR="009336B4" w:rsidRPr="00013DC1" w:rsidRDefault="009336B4" w:rsidP="00463F04">
            <w:pPr>
              <w:ind w:firstLine="0"/>
              <w:jc w:val="center"/>
              <w:rPr>
                <w:rFonts w:cs="Arial"/>
                <w:sz w:val="16"/>
                <w:szCs w:val="16"/>
                <w:vertAlign w:val="subscript"/>
                <w:lang w:val="es-MX"/>
              </w:rPr>
            </w:pPr>
            <w:proofErr w:type="spellStart"/>
            <w:r w:rsidRPr="00013DC1">
              <w:rPr>
                <w:rFonts w:cs="Arial"/>
                <w:sz w:val="16"/>
                <w:szCs w:val="16"/>
                <w:lang w:val="es-MX"/>
              </w:rPr>
              <w:t>E</w:t>
            </w:r>
            <w:r w:rsidRPr="00013DC1">
              <w:rPr>
                <w:rFonts w:cs="Arial"/>
                <w:sz w:val="16"/>
                <w:szCs w:val="16"/>
                <w:vertAlign w:val="subscript"/>
                <w:lang w:val="es-MX"/>
              </w:rPr>
              <w:t>m</w:t>
            </w:r>
            <w:proofErr w:type="spellEnd"/>
          </w:p>
        </w:tc>
        <w:tc>
          <w:tcPr>
            <w:tcW w:w="1134" w:type="dxa"/>
            <w:tcBorders>
              <w:bottom w:val="single" w:sz="4" w:space="0" w:color="auto"/>
            </w:tcBorders>
            <w:vAlign w:val="center"/>
          </w:tcPr>
          <w:p w:rsidR="009336B4" w:rsidRPr="00013DC1" w:rsidRDefault="009336B4" w:rsidP="00463F04">
            <w:pPr>
              <w:ind w:firstLine="0"/>
              <w:jc w:val="center"/>
              <w:rPr>
                <w:rFonts w:cs="Arial"/>
                <w:sz w:val="16"/>
                <w:szCs w:val="16"/>
                <w:vertAlign w:val="subscript"/>
                <w:lang w:val="es-MX"/>
              </w:rPr>
            </w:pPr>
            <w:proofErr w:type="spellStart"/>
            <w:r w:rsidRPr="00013DC1">
              <w:rPr>
                <w:rFonts w:cs="Arial"/>
                <w:sz w:val="16"/>
                <w:szCs w:val="16"/>
                <w:lang w:val="es-MX"/>
              </w:rPr>
              <w:t>E</w:t>
            </w:r>
            <w:r w:rsidRPr="00013DC1">
              <w:rPr>
                <w:rFonts w:cs="Arial"/>
                <w:sz w:val="16"/>
                <w:szCs w:val="16"/>
                <w:vertAlign w:val="subscript"/>
                <w:lang w:val="es-MX"/>
              </w:rPr>
              <w:t>m</w:t>
            </w:r>
            <w:proofErr w:type="spellEnd"/>
          </w:p>
        </w:tc>
        <w:tc>
          <w:tcPr>
            <w:tcW w:w="1023" w:type="dxa"/>
            <w:tcBorders>
              <w:bottom w:val="single" w:sz="4" w:space="0" w:color="auto"/>
            </w:tcBorders>
            <w:vAlign w:val="center"/>
          </w:tcPr>
          <w:p w:rsidR="009336B4" w:rsidRPr="00013DC1" w:rsidRDefault="009336B4" w:rsidP="00463F04">
            <w:pPr>
              <w:ind w:firstLine="0"/>
              <w:jc w:val="center"/>
              <w:rPr>
                <w:rFonts w:cs="Arial"/>
                <w:sz w:val="16"/>
                <w:szCs w:val="16"/>
                <w:vertAlign w:val="subscript"/>
                <w:lang w:val="es-MX"/>
              </w:rPr>
            </w:pPr>
            <w:proofErr w:type="spellStart"/>
            <w:r w:rsidRPr="00013DC1">
              <w:rPr>
                <w:rFonts w:cs="Arial"/>
                <w:sz w:val="16"/>
                <w:szCs w:val="16"/>
                <w:lang w:val="es-MX"/>
              </w:rPr>
              <w:t>E</w:t>
            </w:r>
            <w:r w:rsidRPr="00013DC1">
              <w:rPr>
                <w:rFonts w:cs="Arial"/>
                <w:sz w:val="16"/>
                <w:szCs w:val="16"/>
                <w:vertAlign w:val="subscript"/>
                <w:lang w:val="es-MX"/>
              </w:rPr>
              <w:t>m</w:t>
            </w:r>
            <w:proofErr w:type="spellEnd"/>
          </w:p>
        </w:tc>
      </w:tr>
      <w:tr w:rsidR="009336B4" w:rsidRPr="00013DC1" w:rsidTr="009336B4">
        <w:tc>
          <w:tcPr>
            <w:tcW w:w="1413" w:type="dxa"/>
            <w:tcBorders>
              <w:top w:val="single" w:sz="4" w:space="0" w:color="auto"/>
            </w:tcBorders>
            <w:vAlign w:val="center"/>
          </w:tcPr>
          <w:p w:rsidR="009336B4" w:rsidRPr="00013DC1" w:rsidRDefault="009336B4" w:rsidP="009336B4">
            <w:pPr>
              <w:ind w:left="-57" w:firstLine="0"/>
              <w:rPr>
                <w:rFonts w:cs="Arial"/>
                <w:sz w:val="16"/>
                <w:szCs w:val="16"/>
                <w:lang w:val="es-MX"/>
              </w:rPr>
            </w:pPr>
            <w:r w:rsidRPr="00013DC1">
              <w:rPr>
                <w:rFonts w:cs="Arial"/>
                <w:sz w:val="16"/>
                <w:szCs w:val="16"/>
                <w:lang w:val="es-MX"/>
              </w:rPr>
              <w:t>Principal Humedecimiento</w:t>
            </w:r>
          </w:p>
        </w:tc>
        <w:tc>
          <w:tcPr>
            <w:tcW w:w="1134" w:type="dxa"/>
            <w:tcBorders>
              <w:top w:val="single" w:sz="4" w:space="0" w:color="auto"/>
            </w:tcBorders>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0.0179</w:t>
            </w:r>
          </w:p>
        </w:tc>
        <w:tc>
          <w:tcPr>
            <w:tcW w:w="1134" w:type="dxa"/>
            <w:tcBorders>
              <w:top w:val="single" w:sz="4" w:space="0" w:color="auto"/>
            </w:tcBorders>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0.0167</w:t>
            </w:r>
          </w:p>
        </w:tc>
        <w:tc>
          <w:tcPr>
            <w:tcW w:w="1023" w:type="dxa"/>
            <w:tcBorders>
              <w:top w:val="single" w:sz="4" w:space="0" w:color="auto"/>
            </w:tcBorders>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0.0000</w:t>
            </w:r>
          </w:p>
        </w:tc>
      </w:tr>
      <w:tr w:rsidR="009336B4" w:rsidRPr="00013DC1" w:rsidTr="009336B4">
        <w:tc>
          <w:tcPr>
            <w:tcW w:w="1413" w:type="dxa"/>
            <w:vAlign w:val="center"/>
          </w:tcPr>
          <w:p w:rsidR="009336B4" w:rsidRPr="00013DC1" w:rsidRDefault="009336B4" w:rsidP="009336B4">
            <w:pPr>
              <w:ind w:left="-57" w:firstLine="0"/>
              <w:rPr>
                <w:rFonts w:cs="Arial"/>
                <w:sz w:val="16"/>
                <w:szCs w:val="16"/>
                <w:lang w:val="es-MX"/>
              </w:rPr>
            </w:pPr>
            <w:r w:rsidRPr="00013DC1">
              <w:rPr>
                <w:rFonts w:cs="Arial"/>
                <w:sz w:val="16"/>
                <w:szCs w:val="16"/>
                <w:lang w:val="es-MX"/>
              </w:rPr>
              <w:t xml:space="preserve">Principal </w:t>
            </w:r>
          </w:p>
          <w:p w:rsidR="009336B4" w:rsidRPr="00013DC1" w:rsidRDefault="009336B4" w:rsidP="009336B4">
            <w:pPr>
              <w:ind w:left="-57" w:firstLine="0"/>
              <w:rPr>
                <w:rFonts w:cs="Arial"/>
                <w:sz w:val="16"/>
                <w:szCs w:val="16"/>
                <w:lang w:val="es-MX"/>
              </w:rPr>
            </w:pPr>
            <w:r w:rsidRPr="00013DC1">
              <w:rPr>
                <w:rFonts w:cs="Arial"/>
                <w:sz w:val="16"/>
                <w:szCs w:val="16"/>
                <w:lang w:val="es-MX"/>
              </w:rPr>
              <w:t>Secado</w:t>
            </w:r>
          </w:p>
        </w:tc>
        <w:tc>
          <w:tcPr>
            <w:tcW w:w="1134" w:type="dxa"/>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0.0474</w:t>
            </w:r>
          </w:p>
        </w:tc>
        <w:tc>
          <w:tcPr>
            <w:tcW w:w="1134" w:type="dxa"/>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0.0455</w:t>
            </w:r>
          </w:p>
        </w:tc>
        <w:tc>
          <w:tcPr>
            <w:tcW w:w="1023" w:type="dxa"/>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0.0000</w:t>
            </w:r>
          </w:p>
        </w:tc>
      </w:tr>
      <w:tr w:rsidR="009336B4" w:rsidRPr="00013DC1" w:rsidTr="009336B4">
        <w:tc>
          <w:tcPr>
            <w:tcW w:w="1413" w:type="dxa"/>
            <w:vAlign w:val="center"/>
          </w:tcPr>
          <w:p w:rsidR="009336B4" w:rsidRPr="00013DC1" w:rsidRDefault="009336B4" w:rsidP="009336B4">
            <w:pPr>
              <w:ind w:left="-57" w:firstLine="0"/>
              <w:rPr>
                <w:rFonts w:cs="Arial"/>
                <w:sz w:val="16"/>
                <w:szCs w:val="16"/>
                <w:lang w:val="es-MX"/>
              </w:rPr>
            </w:pPr>
            <w:r w:rsidRPr="00013DC1">
              <w:rPr>
                <w:rFonts w:cs="Arial"/>
                <w:sz w:val="16"/>
                <w:szCs w:val="16"/>
                <w:lang w:val="es-MX"/>
              </w:rPr>
              <w:t>Primaria</w:t>
            </w:r>
          </w:p>
          <w:p w:rsidR="009336B4" w:rsidRPr="00013DC1" w:rsidRDefault="009336B4" w:rsidP="009336B4">
            <w:pPr>
              <w:ind w:left="-57" w:firstLine="0"/>
              <w:rPr>
                <w:rFonts w:cs="Arial"/>
                <w:sz w:val="16"/>
                <w:szCs w:val="16"/>
                <w:lang w:val="es-MX"/>
              </w:rPr>
            </w:pPr>
            <w:r w:rsidRPr="00013DC1">
              <w:rPr>
                <w:rFonts w:cs="Arial"/>
                <w:sz w:val="16"/>
                <w:szCs w:val="16"/>
                <w:lang w:val="es-MX"/>
              </w:rPr>
              <w:t>Secado</w:t>
            </w:r>
          </w:p>
        </w:tc>
        <w:tc>
          <w:tcPr>
            <w:tcW w:w="1134" w:type="dxa"/>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0.0065</w:t>
            </w:r>
          </w:p>
        </w:tc>
        <w:tc>
          <w:tcPr>
            <w:tcW w:w="1134" w:type="dxa"/>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0.000</w:t>
            </w:r>
            <w:r w:rsidR="00BF3806" w:rsidRPr="00013DC1">
              <w:rPr>
                <w:rFonts w:cs="Arial"/>
                <w:sz w:val="16"/>
                <w:szCs w:val="16"/>
                <w:lang w:val="es-MX"/>
              </w:rPr>
              <w:t>2</w:t>
            </w:r>
          </w:p>
        </w:tc>
        <w:tc>
          <w:tcPr>
            <w:tcW w:w="1023" w:type="dxa"/>
            <w:vAlign w:val="center"/>
          </w:tcPr>
          <w:p w:rsidR="009336B4" w:rsidRPr="00013DC1" w:rsidRDefault="008307C7" w:rsidP="009336B4">
            <w:pPr>
              <w:ind w:firstLine="0"/>
              <w:jc w:val="center"/>
              <w:rPr>
                <w:rFonts w:cs="Arial"/>
                <w:sz w:val="16"/>
                <w:szCs w:val="16"/>
                <w:lang w:val="es-MX"/>
              </w:rPr>
            </w:pPr>
            <w:r w:rsidRPr="00013DC1">
              <w:rPr>
                <w:rFonts w:cs="Arial"/>
                <w:sz w:val="16"/>
                <w:szCs w:val="16"/>
                <w:lang w:val="es-MX"/>
              </w:rPr>
              <w:t>0.0482</w:t>
            </w:r>
          </w:p>
        </w:tc>
      </w:tr>
      <w:tr w:rsidR="009336B4" w:rsidRPr="00013DC1" w:rsidTr="009336B4">
        <w:tc>
          <w:tcPr>
            <w:tcW w:w="1413" w:type="dxa"/>
            <w:vAlign w:val="center"/>
          </w:tcPr>
          <w:p w:rsidR="009336B4" w:rsidRPr="00013DC1" w:rsidRDefault="009336B4" w:rsidP="009336B4">
            <w:pPr>
              <w:ind w:left="-57" w:firstLine="0"/>
              <w:rPr>
                <w:rFonts w:cs="Arial"/>
                <w:sz w:val="16"/>
                <w:szCs w:val="16"/>
                <w:lang w:val="es-MX"/>
              </w:rPr>
            </w:pPr>
            <w:r w:rsidRPr="00013DC1">
              <w:rPr>
                <w:rFonts w:cs="Arial"/>
                <w:sz w:val="16"/>
                <w:szCs w:val="16"/>
                <w:lang w:val="es-MX"/>
              </w:rPr>
              <w:t>Secundaria Humedecimiento</w:t>
            </w:r>
          </w:p>
        </w:tc>
        <w:tc>
          <w:tcPr>
            <w:tcW w:w="1134" w:type="dxa"/>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0.0047</w:t>
            </w:r>
          </w:p>
        </w:tc>
        <w:tc>
          <w:tcPr>
            <w:tcW w:w="1134" w:type="dxa"/>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0.0002</w:t>
            </w:r>
          </w:p>
        </w:tc>
        <w:tc>
          <w:tcPr>
            <w:tcW w:w="1023" w:type="dxa"/>
            <w:vAlign w:val="center"/>
          </w:tcPr>
          <w:p w:rsidR="009336B4" w:rsidRPr="00013DC1" w:rsidRDefault="008307C7" w:rsidP="009336B4">
            <w:pPr>
              <w:ind w:firstLine="0"/>
              <w:jc w:val="center"/>
              <w:rPr>
                <w:rFonts w:cs="Arial"/>
                <w:sz w:val="16"/>
                <w:szCs w:val="16"/>
                <w:lang w:val="es-MX"/>
              </w:rPr>
            </w:pPr>
            <w:r w:rsidRPr="00013DC1">
              <w:rPr>
                <w:rFonts w:cs="Arial"/>
                <w:sz w:val="16"/>
                <w:szCs w:val="16"/>
                <w:lang w:val="es-MX"/>
              </w:rPr>
              <w:t>0.0229</w:t>
            </w:r>
          </w:p>
        </w:tc>
      </w:tr>
      <w:tr w:rsidR="009336B4" w:rsidRPr="00013DC1" w:rsidTr="009336B4">
        <w:tc>
          <w:tcPr>
            <w:tcW w:w="1413" w:type="dxa"/>
            <w:tcBorders>
              <w:bottom w:val="single" w:sz="4" w:space="0" w:color="auto"/>
            </w:tcBorders>
            <w:vAlign w:val="center"/>
          </w:tcPr>
          <w:p w:rsidR="009336B4" w:rsidRPr="00013DC1" w:rsidRDefault="009336B4" w:rsidP="009336B4">
            <w:pPr>
              <w:ind w:left="-57" w:firstLine="0"/>
              <w:rPr>
                <w:rFonts w:cs="Arial"/>
                <w:sz w:val="16"/>
                <w:szCs w:val="16"/>
                <w:lang w:val="es-MX"/>
              </w:rPr>
            </w:pPr>
            <w:r w:rsidRPr="00013DC1">
              <w:rPr>
                <w:rFonts w:cs="Arial"/>
                <w:sz w:val="16"/>
                <w:szCs w:val="16"/>
                <w:lang w:val="es-MX"/>
              </w:rPr>
              <w:t xml:space="preserve">Terciaria </w:t>
            </w:r>
          </w:p>
          <w:p w:rsidR="009336B4" w:rsidRPr="00013DC1" w:rsidRDefault="009336B4" w:rsidP="009336B4">
            <w:pPr>
              <w:ind w:left="-57" w:firstLine="0"/>
              <w:rPr>
                <w:rFonts w:cs="Arial"/>
                <w:sz w:val="16"/>
                <w:szCs w:val="16"/>
                <w:lang w:val="es-MX"/>
              </w:rPr>
            </w:pPr>
            <w:r w:rsidRPr="00013DC1">
              <w:rPr>
                <w:rFonts w:cs="Arial"/>
                <w:sz w:val="16"/>
                <w:szCs w:val="16"/>
                <w:lang w:val="es-MX"/>
              </w:rPr>
              <w:t>Secado</w:t>
            </w:r>
          </w:p>
        </w:tc>
        <w:tc>
          <w:tcPr>
            <w:tcW w:w="1134" w:type="dxa"/>
            <w:tcBorders>
              <w:bottom w:val="single" w:sz="4" w:space="0" w:color="auto"/>
            </w:tcBorders>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0.0706</w:t>
            </w:r>
          </w:p>
        </w:tc>
        <w:tc>
          <w:tcPr>
            <w:tcW w:w="1134" w:type="dxa"/>
            <w:tcBorders>
              <w:bottom w:val="single" w:sz="4" w:space="0" w:color="auto"/>
            </w:tcBorders>
            <w:vAlign w:val="center"/>
          </w:tcPr>
          <w:p w:rsidR="009336B4" w:rsidRPr="00013DC1" w:rsidRDefault="009336B4" w:rsidP="009336B4">
            <w:pPr>
              <w:ind w:firstLine="0"/>
              <w:jc w:val="center"/>
              <w:rPr>
                <w:rFonts w:cs="Arial"/>
                <w:sz w:val="16"/>
                <w:szCs w:val="16"/>
                <w:lang w:val="es-MX"/>
              </w:rPr>
            </w:pPr>
            <w:r w:rsidRPr="00013DC1">
              <w:rPr>
                <w:rFonts w:cs="Arial"/>
                <w:sz w:val="16"/>
                <w:szCs w:val="16"/>
                <w:lang w:val="es-MX"/>
              </w:rPr>
              <w:t>0.0027</w:t>
            </w:r>
          </w:p>
        </w:tc>
        <w:tc>
          <w:tcPr>
            <w:tcW w:w="1023" w:type="dxa"/>
            <w:tcBorders>
              <w:bottom w:val="single" w:sz="4" w:space="0" w:color="auto"/>
            </w:tcBorders>
            <w:vAlign w:val="center"/>
          </w:tcPr>
          <w:p w:rsidR="009336B4" w:rsidRPr="00013DC1" w:rsidRDefault="008307C7" w:rsidP="009336B4">
            <w:pPr>
              <w:ind w:firstLine="0"/>
              <w:jc w:val="center"/>
              <w:rPr>
                <w:rFonts w:cs="Arial"/>
                <w:sz w:val="16"/>
                <w:szCs w:val="16"/>
                <w:lang w:val="es-MX"/>
              </w:rPr>
            </w:pPr>
            <w:r w:rsidRPr="00013DC1">
              <w:rPr>
                <w:rFonts w:cs="Arial"/>
                <w:sz w:val="16"/>
                <w:szCs w:val="16"/>
                <w:lang w:val="es-MX"/>
              </w:rPr>
              <w:t>0.0078</w:t>
            </w:r>
          </w:p>
        </w:tc>
      </w:tr>
    </w:tbl>
    <w:p w:rsidR="009C7D39" w:rsidRPr="00013DC1" w:rsidRDefault="009C7D39" w:rsidP="00E93142">
      <w:pPr>
        <w:ind w:firstLine="232"/>
        <w:rPr>
          <w:lang w:val="es-MX"/>
        </w:rPr>
      </w:pPr>
      <w:r w:rsidRPr="00013DC1">
        <w:rPr>
          <w:lang w:val="es-MX"/>
        </w:rPr>
        <w:lastRenderedPageBreak/>
        <w:t>Adicionalmente, las Tablas 1 y 2 enlistan las desviaciones medias absolutas (</w:t>
      </w:r>
      <w:proofErr w:type="spellStart"/>
      <w:r w:rsidRPr="00013DC1">
        <w:rPr>
          <w:lang w:val="es-MX"/>
        </w:rPr>
        <w:t>E</w:t>
      </w:r>
      <w:r w:rsidRPr="00013DC1">
        <w:rPr>
          <w:vertAlign w:val="subscript"/>
          <w:lang w:val="es-MX"/>
        </w:rPr>
        <w:t>m</w:t>
      </w:r>
      <w:proofErr w:type="spellEnd"/>
      <w:r w:rsidRPr="00013DC1">
        <w:rPr>
          <w:lang w:val="es-MX"/>
        </w:rPr>
        <w:t xml:space="preserve">) entre los datos experimentales y los resultados de los tres métodos usando ambas </w:t>
      </w:r>
      <w:proofErr w:type="spellStart"/>
      <w:r w:rsidRPr="00013DC1">
        <w:rPr>
          <w:lang w:val="es-MX"/>
        </w:rPr>
        <w:t>SWRCs</w:t>
      </w:r>
      <w:proofErr w:type="spellEnd"/>
      <w:r w:rsidRPr="00013DC1">
        <w:rPr>
          <w:lang w:val="es-MX"/>
        </w:rPr>
        <w:t>.</w:t>
      </w:r>
    </w:p>
    <w:p w:rsidR="00074F20" w:rsidRPr="00013DC1" w:rsidRDefault="00074F20" w:rsidP="00E93142">
      <w:pPr>
        <w:ind w:firstLine="232"/>
        <w:rPr>
          <w:lang w:val="es-MX"/>
        </w:rPr>
      </w:pPr>
      <w:r w:rsidRPr="00013DC1">
        <w:rPr>
          <w:lang w:val="es-MX"/>
        </w:rPr>
        <w:t xml:space="preserve">Por otra lado, también se usó una SWRC de una arena determinada por </w:t>
      </w:r>
      <w:proofErr w:type="spellStart"/>
      <w:r w:rsidRPr="00013DC1">
        <w:rPr>
          <w:lang w:val="es-MX"/>
        </w:rPr>
        <w:t>Viaene</w:t>
      </w:r>
      <w:proofErr w:type="spellEnd"/>
      <w:r w:rsidRPr="00013DC1">
        <w:rPr>
          <w:lang w:val="es-MX"/>
        </w:rPr>
        <w:t xml:space="preserve"> </w:t>
      </w:r>
      <w:r w:rsidRPr="00013DC1">
        <w:rPr>
          <w:i/>
          <w:lang w:val="es-MX"/>
        </w:rPr>
        <w:t>et al.</w:t>
      </w:r>
      <w:r w:rsidRPr="00013DC1">
        <w:rPr>
          <w:lang w:val="es-MX"/>
        </w:rPr>
        <w:t xml:space="preserve"> (1994), en ésta se muestran las curvas principales, primaria (humedecimiento) y secundaria (secado) con resultados experimentales. </w:t>
      </w:r>
    </w:p>
    <w:p w:rsidR="00074F20" w:rsidRPr="00013DC1" w:rsidRDefault="00074F20" w:rsidP="00E93142">
      <w:pPr>
        <w:ind w:firstLine="232"/>
        <w:rPr>
          <w:lang w:val="es-MX"/>
        </w:rPr>
      </w:pPr>
      <w:r w:rsidRPr="00013DC1">
        <w:rPr>
          <w:lang w:val="es-MX"/>
        </w:rPr>
        <w:t xml:space="preserve">Las figuras 8 a 10 </w:t>
      </w:r>
      <w:r w:rsidR="005E01E2" w:rsidRPr="00013DC1">
        <w:rPr>
          <w:lang w:val="es-MX"/>
        </w:rPr>
        <w:t>representan</w:t>
      </w:r>
      <w:r w:rsidRPr="00013DC1">
        <w:rPr>
          <w:lang w:val="es-MX"/>
        </w:rPr>
        <w:t xml:space="preserve"> la SWRC experimental determinada por </w:t>
      </w:r>
      <w:proofErr w:type="spellStart"/>
      <w:r w:rsidR="005E01E2" w:rsidRPr="00013DC1">
        <w:rPr>
          <w:lang w:val="es-MX"/>
        </w:rPr>
        <w:t>Viaene</w:t>
      </w:r>
      <w:proofErr w:type="spellEnd"/>
      <w:r w:rsidRPr="00013DC1">
        <w:rPr>
          <w:lang w:val="es-MX"/>
        </w:rPr>
        <w:t xml:space="preserve"> </w:t>
      </w:r>
      <w:r w:rsidRPr="00013DC1">
        <w:rPr>
          <w:i/>
          <w:lang w:val="es-MX"/>
        </w:rPr>
        <w:t>et al.</w:t>
      </w:r>
      <w:r w:rsidRPr="00013DC1">
        <w:rPr>
          <w:lang w:val="es-MX"/>
        </w:rPr>
        <w:t xml:space="preserve"> (</w:t>
      </w:r>
      <w:r w:rsidR="005E01E2" w:rsidRPr="00013DC1">
        <w:rPr>
          <w:lang w:val="es-MX"/>
        </w:rPr>
        <w:t>1994</w:t>
      </w:r>
      <w:r w:rsidRPr="00013DC1">
        <w:rPr>
          <w:lang w:val="es-MX"/>
        </w:rPr>
        <w:t xml:space="preserve">) contra la predicción de los ciclos de histéresis utilizando </w:t>
      </w:r>
      <w:r w:rsidR="005E01E2" w:rsidRPr="00013DC1">
        <w:rPr>
          <w:lang w:val="es-MX"/>
        </w:rPr>
        <w:t xml:space="preserve">nuevamente </w:t>
      </w:r>
      <w:r w:rsidRPr="00013DC1">
        <w:rPr>
          <w:lang w:val="es-MX"/>
        </w:rPr>
        <w:t>los métodos de Han-</w:t>
      </w:r>
      <w:proofErr w:type="spellStart"/>
      <w:r w:rsidRPr="00013DC1">
        <w:rPr>
          <w:lang w:val="es-MX"/>
        </w:rPr>
        <w:t>Chen</w:t>
      </w:r>
      <w:proofErr w:type="spellEnd"/>
      <w:r w:rsidRPr="00013DC1">
        <w:rPr>
          <w:lang w:val="es-MX"/>
        </w:rPr>
        <w:t xml:space="preserve"> et al. (2005), </w:t>
      </w:r>
      <w:proofErr w:type="spellStart"/>
      <w:r w:rsidRPr="00013DC1">
        <w:rPr>
          <w:lang w:val="es-MX"/>
        </w:rPr>
        <w:t>Zhou</w:t>
      </w:r>
      <w:proofErr w:type="spellEnd"/>
      <w:r w:rsidRPr="00013DC1">
        <w:rPr>
          <w:lang w:val="es-MX"/>
        </w:rPr>
        <w:t xml:space="preserve"> </w:t>
      </w:r>
      <w:r w:rsidRPr="00013DC1">
        <w:rPr>
          <w:i/>
          <w:lang w:val="es-MX"/>
        </w:rPr>
        <w:t>et al.</w:t>
      </w:r>
      <w:r w:rsidRPr="00013DC1">
        <w:rPr>
          <w:lang w:val="es-MX"/>
        </w:rPr>
        <w:t xml:space="preserve"> (2012) y el procedimiento propuesto.</w:t>
      </w:r>
    </w:p>
    <w:p w:rsidR="00417A2C" w:rsidRPr="00013DC1" w:rsidRDefault="00D61042" w:rsidP="00417A2C">
      <w:pPr>
        <w:ind w:firstLine="0"/>
        <w:rPr>
          <w:lang w:val="es-MX"/>
        </w:rPr>
      </w:pPr>
      <w:r w:rsidRPr="00013DC1">
        <w:rPr>
          <w:noProof/>
          <w:lang w:val="es-MX" w:eastAsia="es-MX"/>
        </w:rPr>
        <w:drawing>
          <wp:anchor distT="0" distB="0" distL="114300" distR="114300" simplePos="0" relativeHeight="251675648" behindDoc="0" locked="0" layoutInCell="1" allowOverlap="1" wp14:anchorId="7E951353" wp14:editId="38135735">
            <wp:simplePos x="0" y="0"/>
            <wp:positionH relativeFrom="margin">
              <wp:align>left</wp:align>
            </wp:positionH>
            <wp:positionV relativeFrom="paragraph">
              <wp:posOffset>281748</wp:posOffset>
            </wp:positionV>
            <wp:extent cx="2959200" cy="2125296"/>
            <wp:effectExtent l="0" t="0" r="0" b="8890"/>
            <wp:wrapTopAndBottom/>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59200" cy="2125296"/>
                    </a:xfrm>
                    <a:prstGeom prst="rect">
                      <a:avLst/>
                    </a:prstGeom>
                    <a:noFill/>
                  </pic:spPr>
                </pic:pic>
              </a:graphicData>
            </a:graphic>
          </wp:anchor>
        </w:drawing>
      </w:r>
    </w:p>
    <w:p w:rsidR="00417A2C" w:rsidRPr="00013DC1" w:rsidRDefault="00417A2C" w:rsidP="00417A2C">
      <w:pPr>
        <w:ind w:firstLine="0"/>
        <w:rPr>
          <w:lang w:val="es-MX"/>
        </w:rPr>
      </w:pPr>
    </w:p>
    <w:p w:rsidR="00417A2C" w:rsidRPr="00013DC1" w:rsidRDefault="00417A2C" w:rsidP="00417A2C">
      <w:pPr>
        <w:ind w:firstLine="0"/>
        <w:rPr>
          <w:lang w:val="es-MX"/>
        </w:rPr>
      </w:pPr>
      <w:r w:rsidRPr="00013DC1">
        <w:rPr>
          <w:sz w:val="18"/>
          <w:lang w:val="es-MX"/>
        </w:rPr>
        <w:t xml:space="preserve">Figura 8. SWRC de </w:t>
      </w:r>
      <w:proofErr w:type="spellStart"/>
      <w:r w:rsidRPr="00013DC1">
        <w:rPr>
          <w:sz w:val="18"/>
          <w:lang w:val="es-MX"/>
        </w:rPr>
        <w:t>Viaene</w:t>
      </w:r>
      <w:proofErr w:type="spellEnd"/>
      <w:r w:rsidRPr="00013DC1">
        <w:rPr>
          <w:sz w:val="18"/>
          <w:lang w:val="es-MX"/>
        </w:rPr>
        <w:t xml:space="preserve"> </w:t>
      </w:r>
      <w:r w:rsidRPr="00013DC1">
        <w:rPr>
          <w:i/>
          <w:sz w:val="18"/>
          <w:lang w:val="es-MX"/>
        </w:rPr>
        <w:t>et al.</w:t>
      </w:r>
      <w:r w:rsidRPr="00013DC1">
        <w:rPr>
          <w:sz w:val="18"/>
          <w:lang w:val="es-MX"/>
        </w:rPr>
        <w:t xml:space="preserve"> (1994) vs predicción de los ciclos de histéresis con el método de Han-</w:t>
      </w:r>
      <w:proofErr w:type="spellStart"/>
      <w:r w:rsidRPr="00013DC1">
        <w:rPr>
          <w:sz w:val="18"/>
          <w:lang w:val="es-MX"/>
        </w:rPr>
        <w:t>Chen</w:t>
      </w:r>
      <w:proofErr w:type="spellEnd"/>
      <w:r w:rsidRPr="00013DC1">
        <w:rPr>
          <w:sz w:val="18"/>
          <w:lang w:val="es-MX"/>
        </w:rPr>
        <w:t xml:space="preserve"> </w:t>
      </w:r>
      <w:r w:rsidRPr="00013DC1">
        <w:rPr>
          <w:i/>
          <w:sz w:val="18"/>
          <w:lang w:val="es-MX"/>
        </w:rPr>
        <w:t>et al.</w:t>
      </w:r>
      <w:r w:rsidRPr="00013DC1">
        <w:rPr>
          <w:sz w:val="18"/>
          <w:lang w:val="es-MX"/>
        </w:rPr>
        <w:t xml:space="preserve"> (2005).</w:t>
      </w:r>
    </w:p>
    <w:p w:rsidR="00417A2C" w:rsidRPr="00013DC1" w:rsidRDefault="00D61042" w:rsidP="00417A2C">
      <w:pPr>
        <w:ind w:firstLine="0"/>
        <w:rPr>
          <w:lang w:val="es-MX"/>
        </w:rPr>
      </w:pPr>
      <w:r w:rsidRPr="00013DC1">
        <w:rPr>
          <w:noProof/>
          <w:lang w:val="es-MX" w:eastAsia="es-MX"/>
        </w:rPr>
        <w:drawing>
          <wp:anchor distT="0" distB="0" distL="114300" distR="114300" simplePos="0" relativeHeight="251676672" behindDoc="0" locked="0" layoutInCell="1" allowOverlap="1" wp14:anchorId="59055010" wp14:editId="3BDD5E6A">
            <wp:simplePos x="0" y="0"/>
            <wp:positionH relativeFrom="margin">
              <wp:align>left</wp:align>
            </wp:positionH>
            <wp:positionV relativeFrom="paragraph">
              <wp:posOffset>283697</wp:posOffset>
            </wp:positionV>
            <wp:extent cx="2959200" cy="2123955"/>
            <wp:effectExtent l="0" t="0" r="0" b="0"/>
            <wp:wrapTopAndBottom/>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59200" cy="2123955"/>
                    </a:xfrm>
                    <a:prstGeom prst="rect">
                      <a:avLst/>
                    </a:prstGeom>
                    <a:noFill/>
                  </pic:spPr>
                </pic:pic>
              </a:graphicData>
            </a:graphic>
          </wp:anchor>
        </w:drawing>
      </w:r>
    </w:p>
    <w:p w:rsidR="00D61042" w:rsidRPr="00013DC1" w:rsidRDefault="00D61042" w:rsidP="00417A2C">
      <w:pPr>
        <w:ind w:firstLine="0"/>
        <w:rPr>
          <w:lang w:val="es-MX"/>
        </w:rPr>
      </w:pPr>
    </w:p>
    <w:p w:rsidR="00D61042" w:rsidRPr="00013DC1" w:rsidRDefault="00D61042" w:rsidP="00417A2C">
      <w:pPr>
        <w:ind w:firstLine="0"/>
        <w:rPr>
          <w:lang w:val="es-MX"/>
        </w:rPr>
      </w:pPr>
      <w:r w:rsidRPr="00013DC1">
        <w:rPr>
          <w:sz w:val="18"/>
          <w:lang w:val="es-MX"/>
        </w:rPr>
        <w:t xml:space="preserve">Figura 9. SWRC de </w:t>
      </w:r>
      <w:proofErr w:type="spellStart"/>
      <w:r w:rsidRPr="00013DC1">
        <w:rPr>
          <w:sz w:val="18"/>
          <w:lang w:val="es-MX"/>
        </w:rPr>
        <w:t>Viaene</w:t>
      </w:r>
      <w:proofErr w:type="spellEnd"/>
      <w:r w:rsidRPr="00013DC1">
        <w:rPr>
          <w:sz w:val="18"/>
          <w:lang w:val="es-MX"/>
        </w:rPr>
        <w:t xml:space="preserve"> </w:t>
      </w:r>
      <w:r w:rsidRPr="00013DC1">
        <w:rPr>
          <w:i/>
          <w:sz w:val="18"/>
          <w:lang w:val="es-MX"/>
        </w:rPr>
        <w:t>et al.</w:t>
      </w:r>
      <w:r w:rsidRPr="00013DC1">
        <w:rPr>
          <w:sz w:val="18"/>
          <w:lang w:val="es-MX"/>
        </w:rPr>
        <w:t xml:space="preserve"> (1994) vs predicción de los ciclos de histéresis con el método de </w:t>
      </w:r>
      <w:proofErr w:type="spellStart"/>
      <w:r w:rsidRPr="00013DC1">
        <w:rPr>
          <w:sz w:val="18"/>
          <w:lang w:val="es-MX"/>
        </w:rPr>
        <w:t>Zhou</w:t>
      </w:r>
      <w:proofErr w:type="spellEnd"/>
      <w:r w:rsidRPr="00013DC1">
        <w:rPr>
          <w:sz w:val="18"/>
          <w:lang w:val="es-MX"/>
        </w:rPr>
        <w:t xml:space="preserve"> </w:t>
      </w:r>
      <w:r w:rsidRPr="00013DC1">
        <w:rPr>
          <w:i/>
          <w:sz w:val="18"/>
          <w:lang w:val="es-MX"/>
        </w:rPr>
        <w:t>et al.</w:t>
      </w:r>
      <w:r w:rsidRPr="00013DC1">
        <w:rPr>
          <w:sz w:val="18"/>
          <w:lang w:val="es-MX"/>
        </w:rPr>
        <w:t xml:space="preserve"> (2005).</w:t>
      </w:r>
    </w:p>
    <w:p w:rsidR="00D61042" w:rsidRPr="00013DC1" w:rsidRDefault="00D61042" w:rsidP="00417A2C">
      <w:pPr>
        <w:ind w:firstLine="0"/>
        <w:rPr>
          <w:lang w:val="es-MX"/>
        </w:rPr>
      </w:pPr>
    </w:p>
    <w:p w:rsidR="00BD620E" w:rsidRPr="00013DC1" w:rsidRDefault="00E93142" w:rsidP="00E93142">
      <w:pPr>
        <w:ind w:firstLine="232"/>
        <w:rPr>
          <w:lang w:val="es-MX"/>
        </w:rPr>
      </w:pPr>
      <w:r w:rsidRPr="00013DC1">
        <w:rPr>
          <w:lang w:val="es-MX"/>
        </w:rPr>
        <w:t>Analizando las F</w:t>
      </w:r>
      <w:r w:rsidR="00BD620E" w:rsidRPr="00013DC1">
        <w:rPr>
          <w:lang w:val="es-MX"/>
        </w:rPr>
        <w:t>iguras 5 a 10</w:t>
      </w:r>
      <w:r w:rsidRPr="00013DC1">
        <w:rPr>
          <w:lang w:val="es-MX"/>
        </w:rPr>
        <w:t xml:space="preserve"> y la</w:t>
      </w:r>
      <w:r w:rsidR="00BD620E" w:rsidRPr="00013DC1">
        <w:rPr>
          <w:lang w:val="es-MX"/>
        </w:rPr>
        <w:t>s</w:t>
      </w:r>
      <w:r w:rsidRPr="00013DC1">
        <w:rPr>
          <w:lang w:val="es-MX"/>
        </w:rPr>
        <w:t xml:space="preserve"> Tabla</w:t>
      </w:r>
      <w:r w:rsidR="00636BB8" w:rsidRPr="00013DC1">
        <w:rPr>
          <w:lang w:val="es-MX"/>
        </w:rPr>
        <w:t>s</w:t>
      </w:r>
      <w:r w:rsidRPr="00013DC1">
        <w:rPr>
          <w:lang w:val="es-MX"/>
        </w:rPr>
        <w:t xml:space="preserve"> 1</w:t>
      </w:r>
      <w:r w:rsidR="00BD620E" w:rsidRPr="00013DC1">
        <w:rPr>
          <w:lang w:val="es-MX"/>
        </w:rPr>
        <w:t xml:space="preserve"> y 2</w:t>
      </w:r>
      <w:r w:rsidRPr="00013DC1">
        <w:rPr>
          <w:lang w:val="es-MX"/>
        </w:rPr>
        <w:t xml:space="preserve">, </w:t>
      </w:r>
      <w:r w:rsidR="00BD620E" w:rsidRPr="00013DC1">
        <w:rPr>
          <w:lang w:val="es-MX"/>
        </w:rPr>
        <w:t xml:space="preserve">podemos observar que </w:t>
      </w:r>
      <w:r w:rsidRPr="00013DC1">
        <w:rPr>
          <w:lang w:val="es-MX"/>
        </w:rPr>
        <w:t xml:space="preserve">los tres métodos son muy buenos y a través de ellos podemos obtener resultados muy consistentes </w:t>
      </w:r>
      <w:r w:rsidR="00BD620E" w:rsidRPr="00013DC1">
        <w:rPr>
          <w:lang w:val="es-MX"/>
        </w:rPr>
        <w:t>y es posible</w:t>
      </w:r>
      <w:r w:rsidRPr="00013DC1">
        <w:rPr>
          <w:lang w:val="es-MX"/>
        </w:rPr>
        <w:t xml:space="preserve"> establecer </w:t>
      </w:r>
      <w:r w:rsidRPr="00013DC1">
        <w:rPr>
          <w:lang w:val="es-MX"/>
        </w:rPr>
        <w:lastRenderedPageBreak/>
        <w:t>que el procedimiento propuesto provee una mejora significativa con respecto a la aproximación de la SWRC</w:t>
      </w:r>
      <w:r w:rsidR="00BD620E" w:rsidRPr="00013DC1">
        <w:rPr>
          <w:lang w:val="es-MX"/>
        </w:rPr>
        <w:t xml:space="preserve"> en sus curvas principales, sin embargo, con los otros métodos debido a la sencillez de las ecuaciones que describen su forma. </w:t>
      </w:r>
    </w:p>
    <w:p w:rsidR="00BD620E" w:rsidRPr="00013DC1" w:rsidRDefault="00BD620E" w:rsidP="00BD620E">
      <w:pPr>
        <w:ind w:firstLine="0"/>
        <w:rPr>
          <w:lang w:val="es-MX"/>
        </w:rPr>
      </w:pPr>
      <w:r w:rsidRPr="00013DC1">
        <w:rPr>
          <w:noProof/>
          <w:lang w:val="es-MX" w:eastAsia="es-MX"/>
        </w:rPr>
        <w:drawing>
          <wp:anchor distT="0" distB="0" distL="114300" distR="114300" simplePos="0" relativeHeight="251677696" behindDoc="0" locked="0" layoutInCell="1" allowOverlap="1" wp14:anchorId="2E7D97B1" wp14:editId="23312DA8">
            <wp:simplePos x="0" y="0"/>
            <wp:positionH relativeFrom="column">
              <wp:posOffset>716</wp:posOffset>
            </wp:positionH>
            <wp:positionV relativeFrom="paragraph">
              <wp:posOffset>294758</wp:posOffset>
            </wp:positionV>
            <wp:extent cx="2959200" cy="2125296"/>
            <wp:effectExtent l="0" t="0" r="0" b="8890"/>
            <wp:wrapTopAndBottom/>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59200" cy="2125296"/>
                    </a:xfrm>
                    <a:prstGeom prst="rect">
                      <a:avLst/>
                    </a:prstGeom>
                    <a:noFill/>
                  </pic:spPr>
                </pic:pic>
              </a:graphicData>
            </a:graphic>
            <wp14:sizeRelH relativeFrom="page">
              <wp14:pctWidth>0</wp14:pctWidth>
            </wp14:sizeRelH>
            <wp14:sizeRelV relativeFrom="page">
              <wp14:pctHeight>0</wp14:pctHeight>
            </wp14:sizeRelV>
          </wp:anchor>
        </w:drawing>
      </w:r>
    </w:p>
    <w:p w:rsidR="00BD620E" w:rsidRPr="00013DC1" w:rsidRDefault="00BD620E" w:rsidP="00BD620E">
      <w:pPr>
        <w:ind w:firstLine="0"/>
        <w:rPr>
          <w:lang w:val="es-MX"/>
        </w:rPr>
      </w:pPr>
    </w:p>
    <w:p w:rsidR="00BD620E" w:rsidRPr="00013DC1" w:rsidRDefault="00BD620E" w:rsidP="00BD620E">
      <w:pPr>
        <w:ind w:firstLine="0"/>
        <w:rPr>
          <w:lang w:val="es-MX"/>
        </w:rPr>
      </w:pPr>
      <w:r w:rsidRPr="00013DC1">
        <w:rPr>
          <w:sz w:val="18"/>
          <w:lang w:val="es-MX"/>
        </w:rPr>
        <w:t>Figura 10. SWRC de Han-</w:t>
      </w:r>
      <w:proofErr w:type="spellStart"/>
      <w:r w:rsidRPr="00013DC1">
        <w:rPr>
          <w:sz w:val="18"/>
          <w:lang w:val="es-MX"/>
        </w:rPr>
        <w:t>Chen</w:t>
      </w:r>
      <w:proofErr w:type="spellEnd"/>
      <w:r w:rsidRPr="00013DC1">
        <w:rPr>
          <w:sz w:val="18"/>
          <w:lang w:val="es-MX"/>
        </w:rPr>
        <w:t xml:space="preserve"> </w:t>
      </w:r>
      <w:r w:rsidRPr="00013DC1">
        <w:rPr>
          <w:i/>
          <w:sz w:val="18"/>
          <w:lang w:val="es-MX"/>
        </w:rPr>
        <w:t>et al.</w:t>
      </w:r>
      <w:r w:rsidRPr="00013DC1">
        <w:rPr>
          <w:sz w:val="18"/>
          <w:lang w:val="es-MX"/>
        </w:rPr>
        <w:t xml:space="preserve"> (2005) vs predicción de los ciclos de histéresis con el procedimiento propuesto.</w:t>
      </w:r>
    </w:p>
    <w:p w:rsidR="00BD620E" w:rsidRPr="00013DC1" w:rsidRDefault="00BD620E" w:rsidP="00BD620E">
      <w:pPr>
        <w:ind w:firstLine="0"/>
        <w:rPr>
          <w:lang w:val="es-MX"/>
        </w:rPr>
      </w:pPr>
    </w:p>
    <w:p w:rsidR="00CA7D33" w:rsidRPr="00013DC1" w:rsidRDefault="00CA7D33" w:rsidP="00BD620E">
      <w:pPr>
        <w:ind w:firstLine="0"/>
        <w:rPr>
          <w:lang w:val="es-MX"/>
        </w:rPr>
      </w:pPr>
    </w:p>
    <w:p w:rsidR="00CA7D33" w:rsidRPr="00013DC1" w:rsidRDefault="00CA7D33" w:rsidP="00CA7D33">
      <w:pPr>
        <w:ind w:firstLine="0"/>
        <w:rPr>
          <w:sz w:val="18"/>
          <w:lang w:val="es-MX"/>
        </w:rPr>
      </w:pPr>
      <w:r w:rsidRPr="00013DC1">
        <w:rPr>
          <w:sz w:val="18"/>
          <w:lang w:val="es-MX"/>
        </w:rPr>
        <w:t>Tabla 2. Desviaciones medias absolutas (</w:t>
      </w:r>
      <w:proofErr w:type="spellStart"/>
      <w:r w:rsidRPr="00013DC1">
        <w:rPr>
          <w:sz w:val="18"/>
          <w:lang w:val="es-MX"/>
        </w:rPr>
        <w:t>E</w:t>
      </w:r>
      <w:r w:rsidRPr="00013DC1">
        <w:rPr>
          <w:sz w:val="18"/>
          <w:vertAlign w:val="subscript"/>
          <w:lang w:val="es-MX"/>
        </w:rPr>
        <w:t>m</w:t>
      </w:r>
      <w:proofErr w:type="spellEnd"/>
      <w:r w:rsidRPr="00013DC1">
        <w:rPr>
          <w:sz w:val="18"/>
          <w:lang w:val="es-MX"/>
        </w:rPr>
        <w:t xml:space="preserve">) entre resultados experimentales y los obtenidos con los tres métodos usando la SWRC de </w:t>
      </w:r>
      <w:proofErr w:type="spellStart"/>
      <w:r w:rsidRPr="00013DC1">
        <w:rPr>
          <w:sz w:val="18"/>
          <w:lang w:val="es-MX"/>
        </w:rPr>
        <w:t>Viaene</w:t>
      </w:r>
      <w:proofErr w:type="spellEnd"/>
      <w:r w:rsidRPr="00013DC1">
        <w:rPr>
          <w:sz w:val="18"/>
          <w:lang w:val="es-MX"/>
        </w:rPr>
        <w:t xml:space="preserve"> </w:t>
      </w:r>
      <w:r w:rsidRPr="00013DC1">
        <w:rPr>
          <w:i/>
          <w:sz w:val="18"/>
          <w:lang w:val="es-MX"/>
        </w:rPr>
        <w:t>et al</w:t>
      </w:r>
      <w:r w:rsidR="00A25315" w:rsidRPr="00013DC1">
        <w:rPr>
          <w:sz w:val="18"/>
          <w:lang w:val="es-MX"/>
        </w:rPr>
        <w:t>. (1994</w:t>
      </w:r>
      <w:r w:rsidRPr="00013DC1">
        <w:rPr>
          <w:sz w:val="18"/>
          <w:lang w:val="es-MX"/>
        </w:rPr>
        <w:t>).</w:t>
      </w:r>
    </w:p>
    <w:tbl>
      <w:tblPr>
        <w:tblStyle w:val="Tablaconcuadrcula"/>
        <w:tblW w:w="4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134"/>
        <w:gridCol w:w="1134"/>
        <w:gridCol w:w="1023"/>
      </w:tblGrid>
      <w:tr w:rsidR="00CA7D33" w:rsidRPr="00013DC1" w:rsidTr="005520F1">
        <w:tc>
          <w:tcPr>
            <w:tcW w:w="1413" w:type="dxa"/>
            <w:vMerge w:val="restart"/>
            <w:tcBorders>
              <w:top w:val="single" w:sz="4" w:space="0" w:color="auto"/>
            </w:tcBorders>
            <w:vAlign w:val="center"/>
          </w:tcPr>
          <w:p w:rsidR="00CA7D33" w:rsidRPr="00013DC1" w:rsidRDefault="00CA7D33" w:rsidP="005520F1">
            <w:pPr>
              <w:ind w:left="-57" w:firstLine="0"/>
              <w:jc w:val="left"/>
              <w:rPr>
                <w:rFonts w:cs="Arial"/>
                <w:sz w:val="16"/>
                <w:szCs w:val="16"/>
                <w:lang w:val="es-MX"/>
              </w:rPr>
            </w:pPr>
            <w:r w:rsidRPr="00013DC1">
              <w:rPr>
                <w:rFonts w:cs="Arial"/>
                <w:sz w:val="16"/>
                <w:szCs w:val="16"/>
                <w:lang w:val="es-MX"/>
              </w:rPr>
              <w:t xml:space="preserve">SWRC </w:t>
            </w:r>
          </w:p>
          <w:p w:rsidR="00CA7D33" w:rsidRPr="00013DC1" w:rsidRDefault="00A25315" w:rsidP="005520F1">
            <w:pPr>
              <w:ind w:left="-57" w:firstLine="0"/>
              <w:jc w:val="left"/>
              <w:rPr>
                <w:rFonts w:cs="Arial"/>
                <w:sz w:val="16"/>
                <w:szCs w:val="16"/>
                <w:lang w:val="es-MX"/>
              </w:rPr>
            </w:pPr>
            <w:proofErr w:type="spellStart"/>
            <w:r w:rsidRPr="00013DC1">
              <w:rPr>
                <w:rFonts w:cs="Arial"/>
                <w:sz w:val="16"/>
                <w:szCs w:val="16"/>
                <w:lang w:val="es-MX"/>
              </w:rPr>
              <w:t>Viaene</w:t>
            </w:r>
            <w:proofErr w:type="spellEnd"/>
          </w:p>
        </w:tc>
        <w:tc>
          <w:tcPr>
            <w:tcW w:w="3291" w:type="dxa"/>
            <w:gridSpan w:val="3"/>
            <w:tcBorders>
              <w:top w:val="single" w:sz="4" w:space="0" w:color="auto"/>
            </w:tcBorders>
            <w:vAlign w:val="center"/>
          </w:tcPr>
          <w:p w:rsidR="00CA7D33" w:rsidRPr="00013DC1" w:rsidRDefault="00CA7D33" w:rsidP="005520F1">
            <w:pPr>
              <w:ind w:firstLine="0"/>
              <w:jc w:val="center"/>
              <w:rPr>
                <w:rFonts w:cs="Arial"/>
                <w:sz w:val="16"/>
                <w:szCs w:val="16"/>
                <w:lang w:val="es-MX"/>
              </w:rPr>
            </w:pPr>
            <w:r w:rsidRPr="00013DC1">
              <w:rPr>
                <w:rFonts w:cs="Arial"/>
                <w:sz w:val="16"/>
                <w:szCs w:val="16"/>
                <w:lang w:val="es-MX"/>
              </w:rPr>
              <w:t>Procedimiento</w:t>
            </w:r>
          </w:p>
        </w:tc>
      </w:tr>
      <w:tr w:rsidR="00CA7D33" w:rsidRPr="00013DC1" w:rsidTr="005520F1">
        <w:tc>
          <w:tcPr>
            <w:tcW w:w="1413" w:type="dxa"/>
            <w:vMerge/>
          </w:tcPr>
          <w:p w:rsidR="00CA7D33" w:rsidRPr="00013DC1" w:rsidRDefault="00CA7D33" w:rsidP="005520F1">
            <w:pPr>
              <w:ind w:left="-57" w:firstLine="0"/>
              <w:rPr>
                <w:rFonts w:cs="Arial"/>
                <w:sz w:val="16"/>
                <w:szCs w:val="16"/>
                <w:lang w:val="es-MX"/>
              </w:rPr>
            </w:pPr>
          </w:p>
        </w:tc>
        <w:tc>
          <w:tcPr>
            <w:tcW w:w="1134" w:type="dxa"/>
            <w:vAlign w:val="center"/>
          </w:tcPr>
          <w:p w:rsidR="00CA7D33" w:rsidRPr="00013DC1" w:rsidRDefault="00CA7D33" w:rsidP="005520F1">
            <w:pPr>
              <w:ind w:firstLine="0"/>
              <w:jc w:val="center"/>
              <w:rPr>
                <w:rFonts w:cs="Arial"/>
                <w:sz w:val="16"/>
                <w:szCs w:val="16"/>
                <w:lang w:val="es-MX"/>
              </w:rPr>
            </w:pPr>
            <w:r w:rsidRPr="00013DC1">
              <w:rPr>
                <w:rFonts w:cs="Arial"/>
                <w:sz w:val="16"/>
                <w:szCs w:val="16"/>
                <w:lang w:val="es-MX"/>
              </w:rPr>
              <w:t>Han-</w:t>
            </w:r>
            <w:proofErr w:type="spellStart"/>
            <w:r w:rsidRPr="00013DC1">
              <w:rPr>
                <w:rFonts w:cs="Arial"/>
                <w:sz w:val="16"/>
                <w:szCs w:val="16"/>
                <w:lang w:val="es-MX"/>
              </w:rPr>
              <w:t>Chen</w:t>
            </w:r>
            <w:proofErr w:type="spellEnd"/>
          </w:p>
        </w:tc>
        <w:tc>
          <w:tcPr>
            <w:tcW w:w="1134" w:type="dxa"/>
            <w:vAlign w:val="center"/>
          </w:tcPr>
          <w:p w:rsidR="00CA7D33" w:rsidRPr="00013DC1" w:rsidRDefault="00CA7D33" w:rsidP="005520F1">
            <w:pPr>
              <w:ind w:firstLine="0"/>
              <w:jc w:val="center"/>
              <w:rPr>
                <w:rFonts w:cs="Arial"/>
                <w:sz w:val="16"/>
                <w:szCs w:val="16"/>
                <w:lang w:val="es-MX"/>
              </w:rPr>
            </w:pPr>
            <w:proofErr w:type="spellStart"/>
            <w:r w:rsidRPr="00013DC1">
              <w:rPr>
                <w:rFonts w:cs="Arial"/>
                <w:sz w:val="16"/>
                <w:szCs w:val="16"/>
                <w:lang w:val="es-MX"/>
              </w:rPr>
              <w:t>Zhou</w:t>
            </w:r>
            <w:proofErr w:type="spellEnd"/>
          </w:p>
        </w:tc>
        <w:tc>
          <w:tcPr>
            <w:tcW w:w="1023" w:type="dxa"/>
            <w:vAlign w:val="center"/>
          </w:tcPr>
          <w:p w:rsidR="00CA7D33" w:rsidRPr="00013DC1" w:rsidRDefault="00CA7D33" w:rsidP="005520F1">
            <w:pPr>
              <w:ind w:firstLine="0"/>
              <w:jc w:val="center"/>
              <w:rPr>
                <w:rFonts w:cs="Arial"/>
                <w:sz w:val="16"/>
                <w:szCs w:val="16"/>
                <w:lang w:val="es-MX"/>
              </w:rPr>
            </w:pPr>
            <w:r w:rsidRPr="00013DC1">
              <w:rPr>
                <w:rFonts w:cs="Arial"/>
                <w:sz w:val="16"/>
                <w:szCs w:val="16"/>
                <w:lang w:val="es-MX"/>
              </w:rPr>
              <w:t>Propuesto</w:t>
            </w:r>
          </w:p>
        </w:tc>
      </w:tr>
      <w:tr w:rsidR="00CA7D33" w:rsidRPr="00013DC1" w:rsidTr="008A49FE">
        <w:tc>
          <w:tcPr>
            <w:tcW w:w="1413" w:type="dxa"/>
            <w:tcBorders>
              <w:bottom w:val="single" w:sz="4" w:space="0" w:color="auto"/>
            </w:tcBorders>
            <w:vAlign w:val="center"/>
          </w:tcPr>
          <w:p w:rsidR="00CA7D33" w:rsidRPr="00013DC1" w:rsidRDefault="00CA7D33" w:rsidP="005520F1">
            <w:pPr>
              <w:ind w:left="-57" w:firstLine="0"/>
              <w:jc w:val="left"/>
              <w:rPr>
                <w:rFonts w:cs="Arial"/>
                <w:sz w:val="16"/>
                <w:szCs w:val="16"/>
                <w:lang w:val="es-MX"/>
              </w:rPr>
            </w:pPr>
            <w:r w:rsidRPr="00013DC1">
              <w:rPr>
                <w:rFonts w:cs="Arial"/>
                <w:sz w:val="16"/>
                <w:szCs w:val="16"/>
                <w:lang w:val="es-MX"/>
              </w:rPr>
              <w:t>Ciclo</w:t>
            </w:r>
          </w:p>
        </w:tc>
        <w:tc>
          <w:tcPr>
            <w:tcW w:w="1134" w:type="dxa"/>
            <w:tcBorders>
              <w:bottom w:val="single" w:sz="4" w:space="0" w:color="auto"/>
            </w:tcBorders>
            <w:vAlign w:val="center"/>
          </w:tcPr>
          <w:p w:rsidR="00CA7D33" w:rsidRPr="00013DC1" w:rsidRDefault="00CA7D33" w:rsidP="005520F1">
            <w:pPr>
              <w:ind w:firstLine="0"/>
              <w:jc w:val="center"/>
              <w:rPr>
                <w:rFonts w:cs="Arial"/>
                <w:sz w:val="16"/>
                <w:szCs w:val="16"/>
                <w:vertAlign w:val="subscript"/>
                <w:lang w:val="es-MX"/>
              </w:rPr>
            </w:pPr>
            <w:proofErr w:type="spellStart"/>
            <w:r w:rsidRPr="00013DC1">
              <w:rPr>
                <w:rFonts w:cs="Arial"/>
                <w:sz w:val="16"/>
                <w:szCs w:val="16"/>
                <w:lang w:val="es-MX"/>
              </w:rPr>
              <w:t>E</w:t>
            </w:r>
            <w:r w:rsidRPr="00013DC1">
              <w:rPr>
                <w:rFonts w:cs="Arial"/>
                <w:sz w:val="16"/>
                <w:szCs w:val="16"/>
                <w:vertAlign w:val="subscript"/>
                <w:lang w:val="es-MX"/>
              </w:rPr>
              <w:t>m</w:t>
            </w:r>
            <w:proofErr w:type="spellEnd"/>
          </w:p>
        </w:tc>
        <w:tc>
          <w:tcPr>
            <w:tcW w:w="1134" w:type="dxa"/>
            <w:tcBorders>
              <w:bottom w:val="single" w:sz="4" w:space="0" w:color="auto"/>
            </w:tcBorders>
            <w:vAlign w:val="center"/>
          </w:tcPr>
          <w:p w:rsidR="00CA7D33" w:rsidRPr="00013DC1" w:rsidRDefault="00CA7D33" w:rsidP="005520F1">
            <w:pPr>
              <w:ind w:firstLine="0"/>
              <w:jc w:val="center"/>
              <w:rPr>
                <w:rFonts w:cs="Arial"/>
                <w:sz w:val="16"/>
                <w:szCs w:val="16"/>
                <w:vertAlign w:val="subscript"/>
                <w:lang w:val="es-MX"/>
              </w:rPr>
            </w:pPr>
            <w:proofErr w:type="spellStart"/>
            <w:r w:rsidRPr="00013DC1">
              <w:rPr>
                <w:rFonts w:cs="Arial"/>
                <w:sz w:val="16"/>
                <w:szCs w:val="16"/>
                <w:lang w:val="es-MX"/>
              </w:rPr>
              <w:t>E</w:t>
            </w:r>
            <w:r w:rsidRPr="00013DC1">
              <w:rPr>
                <w:rFonts w:cs="Arial"/>
                <w:sz w:val="16"/>
                <w:szCs w:val="16"/>
                <w:vertAlign w:val="subscript"/>
                <w:lang w:val="es-MX"/>
              </w:rPr>
              <w:t>m</w:t>
            </w:r>
            <w:proofErr w:type="spellEnd"/>
          </w:p>
        </w:tc>
        <w:tc>
          <w:tcPr>
            <w:tcW w:w="1023" w:type="dxa"/>
            <w:tcBorders>
              <w:bottom w:val="single" w:sz="4" w:space="0" w:color="auto"/>
            </w:tcBorders>
            <w:vAlign w:val="center"/>
          </w:tcPr>
          <w:p w:rsidR="00CA7D33" w:rsidRPr="00013DC1" w:rsidRDefault="00CA7D33" w:rsidP="005520F1">
            <w:pPr>
              <w:ind w:firstLine="0"/>
              <w:jc w:val="center"/>
              <w:rPr>
                <w:rFonts w:cs="Arial"/>
                <w:sz w:val="16"/>
                <w:szCs w:val="16"/>
                <w:vertAlign w:val="subscript"/>
                <w:lang w:val="es-MX"/>
              </w:rPr>
            </w:pPr>
            <w:proofErr w:type="spellStart"/>
            <w:r w:rsidRPr="00013DC1">
              <w:rPr>
                <w:rFonts w:cs="Arial"/>
                <w:sz w:val="16"/>
                <w:szCs w:val="16"/>
                <w:lang w:val="es-MX"/>
              </w:rPr>
              <w:t>E</w:t>
            </w:r>
            <w:r w:rsidRPr="00013DC1">
              <w:rPr>
                <w:rFonts w:cs="Arial"/>
                <w:sz w:val="16"/>
                <w:szCs w:val="16"/>
                <w:vertAlign w:val="subscript"/>
                <w:lang w:val="es-MX"/>
              </w:rPr>
              <w:t>m</w:t>
            </w:r>
            <w:proofErr w:type="spellEnd"/>
          </w:p>
        </w:tc>
      </w:tr>
      <w:tr w:rsidR="00CA7D33" w:rsidRPr="00013DC1" w:rsidTr="005520F1">
        <w:tc>
          <w:tcPr>
            <w:tcW w:w="1413" w:type="dxa"/>
            <w:tcBorders>
              <w:top w:val="single" w:sz="4" w:space="0" w:color="auto"/>
            </w:tcBorders>
            <w:vAlign w:val="center"/>
          </w:tcPr>
          <w:p w:rsidR="00CA7D33" w:rsidRPr="00013DC1" w:rsidRDefault="00CA7D33" w:rsidP="00CA7D33">
            <w:pPr>
              <w:ind w:left="-57" w:firstLine="0"/>
              <w:rPr>
                <w:rFonts w:cs="Arial"/>
                <w:sz w:val="16"/>
                <w:szCs w:val="16"/>
                <w:lang w:val="es-MX"/>
              </w:rPr>
            </w:pPr>
            <w:r w:rsidRPr="00013DC1">
              <w:rPr>
                <w:rFonts w:cs="Arial"/>
                <w:sz w:val="16"/>
                <w:szCs w:val="16"/>
                <w:lang w:val="es-MX"/>
              </w:rPr>
              <w:t>Principal Humedecimiento</w:t>
            </w:r>
          </w:p>
        </w:tc>
        <w:tc>
          <w:tcPr>
            <w:tcW w:w="1134" w:type="dxa"/>
            <w:tcBorders>
              <w:top w:val="single" w:sz="4" w:space="0" w:color="auto"/>
            </w:tcBorders>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0.0128</w:t>
            </w:r>
          </w:p>
        </w:tc>
        <w:tc>
          <w:tcPr>
            <w:tcW w:w="1134" w:type="dxa"/>
            <w:tcBorders>
              <w:top w:val="single" w:sz="4" w:space="0" w:color="auto"/>
            </w:tcBorders>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0.0156</w:t>
            </w:r>
          </w:p>
        </w:tc>
        <w:tc>
          <w:tcPr>
            <w:tcW w:w="1023" w:type="dxa"/>
            <w:tcBorders>
              <w:top w:val="single" w:sz="4" w:space="0" w:color="auto"/>
            </w:tcBorders>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0.0000</w:t>
            </w:r>
          </w:p>
        </w:tc>
      </w:tr>
      <w:tr w:rsidR="00CA7D33" w:rsidRPr="00013DC1" w:rsidTr="005520F1">
        <w:tc>
          <w:tcPr>
            <w:tcW w:w="1413" w:type="dxa"/>
            <w:vAlign w:val="center"/>
          </w:tcPr>
          <w:p w:rsidR="00CA7D33" w:rsidRPr="00013DC1" w:rsidRDefault="00CA7D33" w:rsidP="00CA7D33">
            <w:pPr>
              <w:ind w:left="-57" w:firstLine="0"/>
              <w:rPr>
                <w:rFonts w:cs="Arial"/>
                <w:sz w:val="16"/>
                <w:szCs w:val="16"/>
                <w:lang w:val="es-MX"/>
              </w:rPr>
            </w:pPr>
            <w:r w:rsidRPr="00013DC1">
              <w:rPr>
                <w:rFonts w:cs="Arial"/>
                <w:sz w:val="16"/>
                <w:szCs w:val="16"/>
                <w:lang w:val="es-MX"/>
              </w:rPr>
              <w:t xml:space="preserve">Principal </w:t>
            </w:r>
          </w:p>
          <w:p w:rsidR="00CA7D33" w:rsidRPr="00013DC1" w:rsidRDefault="00CA7D33" w:rsidP="00CA7D33">
            <w:pPr>
              <w:ind w:left="-57" w:firstLine="0"/>
              <w:rPr>
                <w:rFonts w:cs="Arial"/>
                <w:sz w:val="16"/>
                <w:szCs w:val="16"/>
                <w:lang w:val="es-MX"/>
              </w:rPr>
            </w:pPr>
            <w:r w:rsidRPr="00013DC1">
              <w:rPr>
                <w:rFonts w:cs="Arial"/>
                <w:sz w:val="16"/>
                <w:szCs w:val="16"/>
                <w:lang w:val="es-MX"/>
              </w:rPr>
              <w:t>Secado</w:t>
            </w:r>
          </w:p>
        </w:tc>
        <w:tc>
          <w:tcPr>
            <w:tcW w:w="1134" w:type="dxa"/>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0.0395</w:t>
            </w:r>
          </w:p>
        </w:tc>
        <w:tc>
          <w:tcPr>
            <w:tcW w:w="1134" w:type="dxa"/>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0.0195</w:t>
            </w:r>
          </w:p>
        </w:tc>
        <w:tc>
          <w:tcPr>
            <w:tcW w:w="1023" w:type="dxa"/>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0.0000</w:t>
            </w:r>
          </w:p>
        </w:tc>
      </w:tr>
      <w:tr w:rsidR="00CA7D33" w:rsidRPr="00013DC1" w:rsidTr="005520F1">
        <w:tc>
          <w:tcPr>
            <w:tcW w:w="1413" w:type="dxa"/>
            <w:vAlign w:val="center"/>
          </w:tcPr>
          <w:p w:rsidR="00CA7D33" w:rsidRPr="00013DC1" w:rsidRDefault="00CA7D33" w:rsidP="00CA7D33">
            <w:pPr>
              <w:ind w:left="-57" w:firstLine="0"/>
              <w:rPr>
                <w:rFonts w:cs="Arial"/>
                <w:sz w:val="16"/>
                <w:szCs w:val="16"/>
                <w:lang w:val="es-MX"/>
              </w:rPr>
            </w:pPr>
            <w:r w:rsidRPr="00013DC1">
              <w:rPr>
                <w:rFonts w:cs="Arial"/>
                <w:sz w:val="16"/>
                <w:szCs w:val="16"/>
                <w:lang w:val="es-MX"/>
              </w:rPr>
              <w:t>Primaria</w:t>
            </w:r>
          </w:p>
          <w:p w:rsidR="00CA7D33" w:rsidRPr="00013DC1" w:rsidRDefault="004756DF" w:rsidP="00CA7D33">
            <w:pPr>
              <w:ind w:left="-57" w:firstLine="0"/>
              <w:rPr>
                <w:rFonts w:cs="Arial"/>
                <w:sz w:val="16"/>
                <w:szCs w:val="16"/>
                <w:lang w:val="es-MX"/>
              </w:rPr>
            </w:pPr>
            <w:r w:rsidRPr="00013DC1">
              <w:rPr>
                <w:rFonts w:cs="Arial"/>
                <w:sz w:val="16"/>
                <w:szCs w:val="16"/>
                <w:lang w:val="es-MX"/>
              </w:rPr>
              <w:t>Humedecimiento</w:t>
            </w:r>
          </w:p>
        </w:tc>
        <w:tc>
          <w:tcPr>
            <w:tcW w:w="1134" w:type="dxa"/>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0.0052</w:t>
            </w:r>
          </w:p>
        </w:tc>
        <w:tc>
          <w:tcPr>
            <w:tcW w:w="1134" w:type="dxa"/>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0.0157</w:t>
            </w:r>
          </w:p>
        </w:tc>
        <w:tc>
          <w:tcPr>
            <w:tcW w:w="1023" w:type="dxa"/>
            <w:vAlign w:val="center"/>
          </w:tcPr>
          <w:p w:rsidR="00CA7D33" w:rsidRPr="00013DC1" w:rsidRDefault="008307C7" w:rsidP="00CA7D33">
            <w:pPr>
              <w:ind w:firstLine="0"/>
              <w:jc w:val="center"/>
              <w:rPr>
                <w:rFonts w:cs="Arial"/>
                <w:sz w:val="16"/>
                <w:szCs w:val="16"/>
                <w:lang w:val="es-MX"/>
              </w:rPr>
            </w:pPr>
            <w:r w:rsidRPr="00013DC1">
              <w:rPr>
                <w:rFonts w:cs="Arial"/>
                <w:sz w:val="16"/>
                <w:szCs w:val="16"/>
                <w:lang w:val="es-MX"/>
              </w:rPr>
              <w:t>0.0462</w:t>
            </w:r>
          </w:p>
        </w:tc>
      </w:tr>
      <w:tr w:rsidR="00CA7D33" w:rsidRPr="00013DC1" w:rsidTr="008A49FE">
        <w:tc>
          <w:tcPr>
            <w:tcW w:w="1413" w:type="dxa"/>
            <w:tcBorders>
              <w:bottom w:val="single" w:sz="4" w:space="0" w:color="auto"/>
            </w:tcBorders>
            <w:vAlign w:val="center"/>
          </w:tcPr>
          <w:p w:rsidR="004756DF" w:rsidRPr="00013DC1" w:rsidRDefault="00CA7D33" w:rsidP="004756DF">
            <w:pPr>
              <w:ind w:left="-57" w:firstLine="0"/>
              <w:rPr>
                <w:rFonts w:cs="Arial"/>
                <w:sz w:val="16"/>
                <w:szCs w:val="16"/>
                <w:lang w:val="es-MX"/>
              </w:rPr>
            </w:pPr>
            <w:r w:rsidRPr="00013DC1">
              <w:rPr>
                <w:rFonts w:cs="Arial"/>
                <w:sz w:val="16"/>
                <w:szCs w:val="16"/>
                <w:lang w:val="es-MX"/>
              </w:rPr>
              <w:t xml:space="preserve">Secundaria </w:t>
            </w:r>
          </w:p>
          <w:p w:rsidR="00CA7D33" w:rsidRPr="00013DC1" w:rsidRDefault="004756DF" w:rsidP="004756DF">
            <w:pPr>
              <w:ind w:left="-57" w:firstLine="0"/>
              <w:rPr>
                <w:rFonts w:cs="Arial"/>
                <w:sz w:val="16"/>
                <w:szCs w:val="16"/>
                <w:lang w:val="es-MX"/>
              </w:rPr>
            </w:pPr>
            <w:r w:rsidRPr="00013DC1">
              <w:rPr>
                <w:rFonts w:cs="Arial"/>
                <w:sz w:val="16"/>
                <w:szCs w:val="16"/>
                <w:lang w:val="es-MX"/>
              </w:rPr>
              <w:t>Secado</w:t>
            </w:r>
          </w:p>
        </w:tc>
        <w:tc>
          <w:tcPr>
            <w:tcW w:w="1134" w:type="dxa"/>
            <w:tcBorders>
              <w:bottom w:val="single" w:sz="4" w:space="0" w:color="auto"/>
            </w:tcBorders>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0.0234</w:t>
            </w:r>
          </w:p>
        </w:tc>
        <w:tc>
          <w:tcPr>
            <w:tcW w:w="1134" w:type="dxa"/>
            <w:tcBorders>
              <w:bottom w:val="single" w:sz="4" w:space="0" w:color="auto"/>
            </w:tcBorders>
            <w:vAlign w:val="center"/>
          </w:tcPr>
          <w:p w:rsidR="00CA7D33" w:rsidRPr="00013DC1" w:rsidRDefault="00CA7D33" w:rsidP="00CA7D33">
            <w:pPr>
              <w:ind w:firstLine="0"/>
              <w:jc w:val="center"/>
              <w:rPr>
                <w:rFonts w:cs="Arial"/>
                <w:sz w:val="16"/>
                <w:szCs w:val="16"/>
                <w:lang w:val="es-MX"/>
              </w:rPr>
            </w:pPr>
            <w:r w:rsidRPr="00013DC1">
              <w:rPr>
                <w:rFonts w:cs="Arial"/>
                <w:sz w:val="16"/>
                <w:szCs w:val="16"/>
                <w:lang w:val="es-MX"/>
              </w:rPr>
              <w:t>0.0119</w:t>
            </w:r>
          </w:p>
        </w:tc>
        <w:tc>
          <w:tcPr>
            <w:tcW w:w="1023" w:type="dxa"/>
            <w:tcBorders>
              <w:bottom w:val="single" w:sz="4" w:space="0" w:color="auto"/>
            </w:tcBorders>
            <w:vAlign w:val="center"/>
          </w:tcPr>
          <w:p w:rsidR="00CA7D33" w:rsidRPr="00013DC1" w:rsidRDefault="008307C7" w:rsidP="00CA7D33">
            <w:pPr>
              <w:ind w:firstLine="0"/>
              <w:jc w:val="center"/>
              <w:rPr>
                <w:rFonts w:cs="Arial"/>
                <w:sz w:val="16"/>
                <w:szCs w:val="16"/>
                <w:lang w:val="es-MX"/>
              </w:rPr>
            </w:pPr>
            <w:r w:rsidRPr="00013DC1">
              <w:rPr>
                <w:rFonts w:cs="Arial"/>
                <w:sz w:val="16"/>
                <w:szCs w:val="16"/>
                <w:lang w:val="es-MX"/>
              </w:rPr>
              <w:t>0.0104</w:t>
            </w:r>
          </w:p>
        </w:tc>
      </w:tr>
    </w:tbl>
    <w:p w:rsidR="00BD620E" w:rsidRPr="00013DC1" w:rsidRDefault="00BD620E" w:rsidP="00CA7D33">
      <w:pPr>
        <w:ind w:firstLine="0"/>
        <w:rPr>
          <w:lang w:val="es-MX"/>
        </w:rPr>
      </w:pPr>
    </w:p>
    <w:p w:rsidR="00613754" w:rsidRPr="00013DC1" w:rsidRDefault="00613754" w:rsidP="00E93142">
      <w:pPr>
        <w:ind w:firstLine="232"/>
        <w:rPr>
          <w:lang w:val="es-MX"/>
        </w:rPr>
      </w:pPr>
    </w:p>
    <w:p w:rsidR="00E06A7E" w:rsidRPr="00013DC1" w:rsidRDefault="00BD620E" w:rsidP="00E93142">
      <w:pPr>
        <w:ind w:firstLine="232"/>
        <w:rPr>
          <w:lang w:val="es-MX"/>
        </w:rPr>
      </w:pPr>
      <w:r w:rsidRPr="00013DC1">
        <w:rPr>
          <w:lang w:val="es-MX"/>
        </w:rPr>
        <w:t>Además, se</w:t>
      </w:r>
      <w:r w:rsidR="00B45EE8" w:rsidRPr="00013DC1">
        <w:rPr>
          <w:lang w:val="es-MX"/>
        </w:rPr>
        <w:t xml:space="preserve"> conoce que el modelo </w:t>
      </w:r>
      <w:r w:rsidRPr="00013DC1">
        <w:rPr>
          <w:lang w:val="es-MX"/>
        </w:rPr>
        <w:t xml:space="preserve">de van </w:t>
      </w:r>
      <w:proofErr w:type="spellStart"/>
      <w:r w:rsidRPr="00013DC1">
        <w:rPr>
          <w:lang w:val="es-MX"/>
        </w:rPr>
        <w:t>Genuchten</w:t>
      </w:r>
      <w:proofErr w:type="spellEnd"/>
      <w:r w:rsidRPr="00013DC1">
        <w:rPr>
          <w:lang w:val="es-MX"/>
        </w:rPr>
        <w:t xml:space="preserve"> (1980) es </w:t>
      </w:r>
      <w:r w:rsidR="00E93241" w:rsidRPr="00013DC1">
        <w:rPr>
          <w:lang w:val="es-MX"/>
        </w:rPr>
        <w:t>adecuado</w:t>
      </w:r>
      <w:r w:rsidR="00B45EE8" w:rsidRPr="00013DC1">
        <w:rPr>
          <w:lang w:val="es-MX"/>
        </w:rPr>
        <w:t xml:space="preserve"> para ajustar</w:t>
      </w:r>
      <w:r w:rsidRPr="00013DC1">
        <w:rPr>
          <w:lang w:val="es-MX"/>
        </w:rPr>
        <w:t xml:space="preserve"> muy bien </w:t>
      </w:r>
      <w:r w:rsidR="005520F1" w:rsidRPr="00013DC1">
        <w:rPr>
          <w:lang w:val="es-MX"/>
        </w:rPr>
        <w:t>las SWRC de</w:t>
      </w:r>
      <w:r w:rsidRPr="00013DC1">
        <w:rPr>
          <w:lang w:val="es-MX"/>
        </w:rPr>
        <w:t xml:space="preserve"> los suelos arenosos</w:t>
      </w:r>
      <w:r w:rsidR="005520F1" w:rsidRPr="00013DC1">
        <w:rPr>
          <w:lang w:val="es-MX"/>
        </w:rPr>
        <w:t xml:space="preserve"> y limosos, pero en arcillas no posee la misma calidad</w:t>
      </w:r>
      <w:r w:rsidRPr="00013DC1">
        <w:rPr>
          <w:lang w:val="es-MX"/>
        </w:rPr>
        <w:t xml:space="preserve">. Por tal motivo, </w:t>
      </w:r>
      <w:r w:rsidR="00613754" w:rsidRPr="00013DC1">
        <w:rPr>
          <w:lang w:val="es-MX"/>
        </w:rPr>
        <w:t xml:space="preserve">el procedimiento presentado en el presente documento, evita el uso de una ecuación predeterminada, así como el proceso de ajuste. Por lo tanto, es una excelente herramienta para la determinación de los ciclos secundarios de histéresis de suelos no saturados. Las principales características de nuestro procedimiento son: a) Se evita el proceso de ajuste de los puntos experimentales con una ecuación predeterminada para la SWRC, b) nuestro procedimiento asegura una correlación del 100% entre los puntos experimentales y numéricos, c) esta correlación aumenta la exactitud de los curvas principales para suelos no saturados. </w:t>
      </w:r>
    </w:p>
    <w:p w:rsidR="00A850E2" w:rsidRPr="00013DC1" w:rsidRDefault="009628C7" w:rsidP="004F312D">
      <w:pPr>
        <w:pStyle w:val="Ttulo1"/>
        <w:overflowPunct w:val="0"/>
        <w:autoSpaceDE w:val="0"/>
        <w:autoSpaceDN w:val="0"/>
        <w:adjustRightInd w:val="0"/>
        <w:textAlignment w:val="baseline"/>
        <w:rPr>
          <w:caps w:val="0"/>
          <w:lang w:val="es-MX"/>
        </w:rPr>
      </w:pPr>
      <w:r w:rsidRPr="00013DC1">
        <w:rPr>
          <w:caps w:val="0"/>
          <w:lang w:val="es-MX"/>
        </w:rPr>
        <w:lastRenderedPageBreak/>
        <w:t>CONCLUSIONES Y RECOMENDACIONES</w:t>
      </w:r>
    </w:p>
    <w:p w:rsidR="00A850E2" w:rsidRPr="00013DC1" w:rsidRDefault="00445DB0" w:rsidP="00C74DB9">
      <w:pPr>
        <w:pStyle w:val="PrimerParrafo"/>
      </w:pPr>
      <w:r w:rsidRPr="00013DC1">
        <w:t>El procedimien</w:t>
      </w:r>
      <w:r w:rsidR="0072749D" w:rsidRPr="00013DC1">
        <w:t>to descrito en este trabajo usa</w:t>
      </w:r>
      <w:r w:rsidRPr="00013DC1">
        <w:t xml:space="preserve"> los puntos experimentales de la SWRC para encontrar una ecuación </w:t>
      </w:r>
      <w:proofErr w:type="spellStart"/>
      <w:r w:rsidRPr="00013DC1">
        <w:t>polinomial</w:t>
      </w:r>
      <w:proofErr w:type="spellEnd"/>
      <w:r w:rsidRPr="00013DC1">
        <w:t xml:space="preserve"> para determinar los ciclos secundarios de histéresis del suelo no saturado. Dicho procedimiento muestra ventajas sobre otros métodos existentes: que asegura una correlación del 100% con las curvas principales numéricas y experimentales. No requiere de una ecuación predeterminada para la SWRC. Se evita el proceso de ajuste entre la SWRC experimental y numérica. Finalmente, las comparaciones de los ciclos de histéresis obtenidos con los diferentes métodos y los resultados experimentales permiten concluir que el método propuesto en este documento es una herramienta rápida y sencilla que proporciona resultados muy consistentes.</w:t>
      </w:r>
    </w:p>
    <w:p w:rsidR="006A020B" w:rsidRPr="00013DC1" w:rsidRDefault="000C28F6" w:rsidP="006A020B">
      <w:pPr>
        <w:pStyle w:val="Ttulo1"/>
        <w:numPr>
          <w:ilvl w:val="0"/>
          <w:numId w:val="0"/>
        </w:numPr>
        <w:rPr>
          <w:lang w:val="es-MX"/>
        </w:rPr>
      </w:pPr>
      <w:r w:rsidRPr="00013DC1">
        <w:rPr>
          <w:caps w:val="0"/>
          <w:lang w:val="es-MX"/>
        </w:rPr>
        <w:t>REFERENCIAS</w:t>
      </w:r>
    </w:p>
    <w:p w:rsidR="002F0F8E" w:rsidRPr="00013DC1" w:rsidRDefault="00374AE1" w:rsidP="002F0F8E">
      <w:pPr>
        <w:pStyle w:val="Referencia"/>
        <w:rPr>
          <w:lang w:val="en-US"/>
        </w:rPr>
      </w:pPr>
      <w:r w:rsidRPr="00013DC1">
        <w:rPr>
          <w:lang w:val="es-MX"/>
        </w:rPr>
        <w:t>Arroyo H., Rojas E., Pérez-Rea M. L., Horta J.</w:t>
      </w:r>
      <w:r w:rsidR="008970C9" w:rsidRPr="00013DC1">
        <w:rPr>
          <w:lang w:val="es-MX"/>
        </w:rPr>
        <w:t xml:space="preserve"> y </w:t>
      </w:r>
      <w:r w:rsidRPr="00013DC1">
        <w:rPr>
          <w:lang w:val="es-MX"/>
        </w:rPr>
        <w:t>Arroyo J. (2013</w:t>
      </w:r>
      <w:r w:rsidR="002F0F8E" w:rsidRPr="00013DC1">
        <w:rPr>
          <w:lang w:val="es-MX"/>
        </w:rPr>
        <w:t xml:space="preserve">). </w:t>
      </w:r>
      <w:r w:rsidR="002F0F8E" w:rsidRPr="00013DC1">
        <w:rPr>
          <w:lang w:val="en-US"/>
        </w:rPr>
        <w:t>“</w:t>
      </w:r>
      <w:proofErr w:type="spellStart"/>
      <w:r w:rsidRPr="00013DC1">
        <w:rPr>
          <w:lang w:val="en-US"/>
        </w:rPr>
        <w:t>Simultaion</w:t>
      </w:r>
      <w:proofErr w:type="spellEnd"/>
      <w:r w:rsidRPr="00013DC1">
        <w:rPr>
          <w:lang w:val="en-US"/>
        </w:rPr>
        <w:t xml:space="preserve"> of the shear </w:t>
      </w:r>
      <w:proofErr w:type="spellStart"/>
      <w:r w:rsidRPr="00013DC1">
        <w:rPr>
          <w:lang w:val="en-US"/>
        </w:rPr>
        <w:t>strngth</w:t>
      </w:r>
      <w:proofErr w:type="spellEnd"/>
      <w:r w:rsidRPr="00013DC1">
        <w:rPr>
          <w:lang w:val="en-US"/>
        </w:rPr>
        <w:t xml:space="preserve"> for unsaturated soils</w:t>
      </w:r>
      <w:r w:rsidR="002F0F8E" w:rsidRPr="00013DC1">
        <w:rPr>
          <w:lang w:val="en-US"/>
        </w:rPr>
        <w:t xml:space="preserve">”, </w:t>
      </w:r>
      <w:proofErr w:type="spellStart"/>
      <w:r w:rsidRPr="00013DC1">
        <w:rPr>
          <w:i/>
          <w:lang w:val="en-US"/>
        </w:rPr>
        <w:t>Comptes</w:t>
      </w:r>
      <w:proofErr w:type="spellEnd"/>
      <w:r w:rsidRPr="00013DC1">
        <w:rPr>
          <w:i/>
          <w:lang w:val="en-US"/>
        </w:rPr>
        <w:t xml:space="preserve"> </w:t>
      </w:r>
      <w:proofErr w:type="spellStart"/>
      <w:r w:rsidRPr="00013DC1">
        <w:rPr>
          <w:i/>
          <w:lang w:val="en-US"/>
        </w:rPr>
        <w:t>Rendus</w:t>
      </w:r>
      <w:proofErr w:type="spellEnd"/>
      <w:r w:rsidRPr="00013DC1">
        <w:rPr>
          <w:i/>
          <w:lang w:val="en-US"/>
        </w:rPr>
        <w:t xml:space="preserve"> </w:t>
      </w:r>
      <w:proofErr w:type="spellStart"/>
      <w:r w:rsidRPr="00013DC1">
        <w:rPr>
          <w:i/>
          <w:lang w:val="en-US"/>
        </w:rPr>
        <w:t>Mecanique</w:t>
      </w:r>
      <w:proofErr w:type="spellEnd"/>
      <w:r w:rsidRPr="00013DC1">
        <w:rPr>
          <w:lang w:val="en-US"/>
        </w:rPr>
        <w:t>, Vol. 341</w:t>
      </w:r>
      <w:r w:rsidR="002F0F8E" w:rsidRPr="00013DC1">
        <w:rPr>
          <w:lang w:val="en-US"/>
        </w:rPr>
        <w:t xml:space="preserve">: </w:t>
      </w:r>
      <w:r w:rsidRPr="00013DC1">
        <w:rPr>
          <w:lang w:val="en-US"/>
        </w:rPr>
        <w:t>727-742.</w:t>
      </w:r>
    </w:p>
    <w:p w:rsidR="002F0F8E" w:rsidRPr="00013DC1" w:rsidRDefault="00374AE1" w:rsidP="002F0F8E">
      <w:pPr>
        <w:pStyle w:val="Referencia"/>
        <w:rPr>
          <w:lang w:val="en-US"/>
        </w:rPr>
      </w:pPr>
      <w:proofErr w:type="spellStart"/>
      <w:r w:rsidRPr="00013DC1">
        <w:rPr>
          <w:lang w:val="en-US"/>
        </w:rPr>
        <w:t>Fredlund</w:t>
      </w:r>
      <w:proofErr w:type="spellEnd"/>
      <w:r w:rsidRPr="00013DC1">
        <w:rPr>
          <w:lang w:val="en-US"/>
        </w:rPr>
        <w:t xml:space="preserve"> D. G. y Xing A. </w:t>
      </w:r>
      <w:r w:rsidR="002F0F8E" w:rsidRPr="00013DC1">
        <w:rPr>
          <w:lang w:val="en-US"/>
        </w:rPr>
        <w:t>(</w:t>
      </w:r>
      <w:r w:rsidRPr="00013DC1">
        <w:rPr>
          <w:lang w:val="en-US"/>
        </w:rPr>
        <w:t>1994</w:t>
      </w:r>
      <w:r w:rsidR="002F0F8E" w:rsidRPr="00013DC1">
        <w:rPr>
          <w:lang w:val="en-US"/>
        </w:rPr>
        <w:t>). “</w:t>
      </w:r>
      <w:r w:rsidRPr="00013DC1">
        <w:rPr>
          <w:lang w:val="en-US"/>
        </w:rPr>
        <w:t>Equations for the soil-water characteristic curve</w:t>
      </w:r>
      <w:r w:rsidR="002F0F8E" w:rsidRPr="00013DC1">
        <w:rPr>
          <w:lang w:val="en-US"/>
        </w:rPr>
        <w:t>”</w:t>
      </w:r>
      <w:r w:rsidR="008970C9" w:rsidRPr="00013DC1">
        <w:rPr>
          <w:lang w:val="en-US"/>
        </w:rPr>
        <w:t>,</w:t>
      </w:r>
      <w:r w:rsidR="002F0F8E" w:rsidRPr="00013DC1">
        <w:rPr>
          <w:lang w:val="en-US"/>
        </w:rPr>
        <w:t xml:space="preserve"> </w:t>
      </w:r>
      <w:r w:rsidRPr="00013DC1">
        <w:rPr>
          <w:i/>
          <w:lang w:val="en-US"/>
        </w:rPr>
        <w:t>Canadian Geotechnical Journal</w:t>
      </w:r>
      <w:r w:rsidR="002F0F8E" w:rsidRPr="00013DC1">
        <w:rPr>
          <w:lang w:val="en-US"/>
        </w:rPr>
        <w:t>, Vol</w:t>
      </w:r>
      <w:r w:rsidRPr="00013DC1">
        <w:rPr>
          <w:lang w:val="en-US"/>
        </w:rPr>
        <w:t>. 31</w:t>
      </w:r>
      <w:r w:rsidR="002F0F8E" w:rsidRPr="00013DC1">
        <w:rPr>
          <w:lang w:val="en-US"/>
        </w:rPr>
        <w:t xml:space="preserve">: </w:t>
      </w:r>
      <w:r w:rsidRPr="00013DC1">
        <w:rPr>
          <w:lang w:val="en-US"/>
        </w:rPr>
        <w:t>91</w:t>
      </w:r>
      <w:r w:rsidR="002F0F8E" w:rsidRPr="00013DC1">
        <w:rPr>
          <w:lang w:val="en-US"/>
        </w:rPr>
        <w:t>-</w:t>
      </w:r>
      <w:r w:rsidRPr="00013DC1">
        <w:rPr>
          <w:lang w:val="en-US"/>
        </w:rPr>
        <w:t>99</w:t>
      </w:r>
      <w:r w:rsidR="002F0F8E" w:rsidRPr="00013DC1">
        <w:rPr>
          <w:lang w:val="en-US"/>
        </w:rPr>
        <w:t>.</w:t>
      </w:r>
    </w:p>
    <w:p w:rsidR="002F0F8E" w:rsidRPr="00013DC1" w:rsidRDefault="001104CD" w:rsidP="002F0F8E">
      <w:pPr>
        <w:pStyle w:val="Referencia"/>
        <w:rPr>
          <w:lang w:val="es-MX"/>
        </w:rPr>
      </w:pPr>
      <w:r w:rsidRPr="00013DC1">
        <w:rPr>
          <w:lang w:val="es-MX"/>
        </w:rPr>
        <w:t>Galaviz R., Pérez-Rea M. L. y Arroyo H. (2013). “Modelos de predicción de curvas de retención de agua para suelos parcialmente saturados”</w:t>
      </w:r>
      <w:r w:rsidR="002F0F8E" w:rsidRPr="00013DC1">
        <w:rPr>
          <w:lang w:val="es-MX"/>
        </w:rPr>
        <w:t xml:space="preserve">, </w:t>
      </w:r>
      <w:r w:rsidRPr="00013DC1">
        <w:rPr>
          <w:i/>
          <w:lang w:val="es-MX"/>
        </w:rPr>
        <w:t>Memorias 9</w:t>
      </w:r>
      <w:r w:rsidRPr="00013DC1">
        <w:rPr>
          <w:rFonts w:cs="Arial"/>
          <w:i/>
          <w:lang w:val="es-MX"/>
        </w:rPr>
        <w:t>°</w:t>
      </w:r>
      <w:r w:rsidRPr="00013DC1">
        <w:rPr>
          <w:i/>
          <w:lang w:val="es-MX"/>
        </w:rPr>
        <w:t xml:space="preserve"> Congreso Internacional de Ingeniería</w:t>
      </w:r>
      <w:r w:rsidR="002F0F8E" w:rsidRPr="00013DC1">
        <w:rPr>
          <w:rStyle w:val="EstiloReferencetextCursivaCar"/>
          <w:lang w:val="es-MX"/>
        </w:rPr>
        <w:t xml:space="preserve">. </w:t>
      </w:r>
      <w:r w:rsidRPr="00013DC1">
        <w:rPr>
          <w:rStyle w:val="EstiloReferencetextCursivaCar"/>
          <w:i w:val="0"/>
          <w:lang w:val="es-MX"/>
        </w:rPr>
        <w:t>Universidad Autónoma de Querétaro</w:t>
      </w:r>
      <w:r w:rsidR="002F0F8E" w:rsidRPr="00013DC1">
        <w:rPr>
          <w:lang w:val="es-MX"/>
        </w:rPr>
        <w:t>,</w:t>
      </w:r>
      <w:r w:rsidRPr="00013DC1">
        <w:rPr>
          <w:lang w:val="es-MX"/>
        </w:rPr>
        <w:t xml:space="preserve"> Querétaro, México.</w:t>
      </w:r>
    </w:p>
    <w:p w:rsidR="001104CD" w:rsidRPr="00013DC1" w:rsidRDefault="001104CD" w:rsidP="002F0F8E">
      <w:pPr>
        <w:pStyle w:val="Referencia"/>
        <w:rPr>
          <w:lang w:val="en-US"/>
        </w:rPr>
      </w:pPr>
      <w:r w:rsidRPr="00013DC1">
        <w:rPr>
          <w:lang w:val="es-MX"/>
        </w:rPr>
        <w:t>Han-</w:t>
      </w:r>
      <w:proofErr w:type="spellStart"/>
      <w:r w:rsidRPr="00013DC1">
        <w:rPr>
          <w:lang w:val="es-MX"/>
        </w:rPr>
        <w:t>Chen</w:t>
      </w:r>
      <w:proofErr w:type="spellEnd"/>
      <w:r w:rsidRPr="00013DC1">
        <w:rPr>
          <w:lang w:val="es-MX"/>
        </w:rPr>
        <w:t xml:space="preserve"> H., </w:t>
      </w:r>
      <w:proofErr w:type="spellStart"/>
      <w:r w:rsidRPr="00013DC1">
        <w:rPr>
          <w:lang w:val="es-MX"/>
        </w:rPr>
        <w:t>Yih</w:t>
      </w:r>
      <w:proofErr w:type="spellEnd"/>
      <w:r w:rsidRPr="00013DC1">
        <w:rPr>
          <w:lang w:val="es-MX"/>
        </w:rPr>
        <w:t xml:space="preserve">-Chi T., </w:t>
      </w:r>
      <w:proofErr w:type="spellStart"/>
      <w:r w:rsidRPr="00013DC1">
        <w:rPr>
          <w:lang w:val="es-MX"/>
        </w:rPr>
        <w:t>Chen-Wuing</w:t>
      </w:r>
      <w:proofErr w:type="spellEnd"/>
      <w:r w:rsidRPr="00013DC1">
        <w:rPr>
          <w:lang w:val="es-MX"/>
        </w:rPr>
        <w:t xml:space="preserve"> L. y </w:t>
      </w:r>
      <w:proofErr w:type="spellStart"/>
      <w:r w:rsidRPr="00013DC1">
        <w:rPr>
          <w:lang w:val="es-MX"/>
        </w:rPr>
        <w:t>Chu</w:t>
      </w:r>
      <w:proofErr w:type="spellEnd"/>
      <w:r w:rsidRPr="00013DC1">
        <w:rPr>
          <w:lang w:val="es-MX"/>
        </w:rPr>
        <w:t xml:space="preserve">-Hui C. (2005). </w:t>
      </w:r>
      <w:r w:rsidRPr="00013DC1">
        <w:rPr>
          <w:lang w:val="en-US"/>
        </w:rPr>
        <w:t xml:space="preserve">“A novel hysteresis model in unsaturated soil”, </w:t>
      </w:r>
      <w:r w:rsidR="00855C56" w:rsidRPr="00013DC1">
        <w:rPr>
          <w:i/>
          <w:lang w:val="en-US"/>
        </w:rPr>
        <w:t>Hydrological Process,</w:t>
      </w:r>
      <w:r w:rsidR="00855C56" w:rsidRPr="00013DC1">
        <w:rPr>
          <w:lang w:val="en-US"/>
        </w:rPr>
        <w:t xml:space="preserve"> Vol. 19: 1653-1665.</w:t>
      </w:r>
    </w:p>
    <w:p w:rsidR="00A57AFF" w:rsidRPr="00013DC1" w:rsidRDefault="00A57AFF" w:rsidP="002F0F8E">
      <w:pPr>
        <w:pStyle w:val="Referencia"/>
        <w:rPr>
          <w:lang w:val="en-US"/>
        </w:rPr>
      </w:pPr>
      <w:r w:rsidRPr="00013DC1">
        <w:rPr>
          <w:lang w:val="es-MX"/>
        </w:rPr>
        <w:t xml:space="preserve">Horta J., Rojas E., Pérez-Rea M. L., López-Lara T. y Zaragoza J. B. (2013). </w:t>
      </w:r>
      <w:r w:rsidRPr="00013DC1">
        <w:rPr>
          <w:lang w:val="en-US"/>
        </w:rPr>
        <w:t xml:space="preserve">“A random solid-porous model to simulated the retention curves of soils”, </w:t>
      </w:r>
      <w:r w:rsidRPr="00013DC1">
        <w:rPr>
          <w:i/>
          <w:lang w:val="en-US"/>
        </w:rPr>
        <w:t>Int. J. Num</w:t>
      </w:r>
      <w:r w:rsidR="00F430D4" w:rsidRPr="00013DC1">
        <w:rPr>
          <w:i/>
          <w:lang w:val="en-US"/>
        </w:rPr>
        <w:t>b</w:t>
      </w:r>
      <w:r w:rsidRPr="00013DC1">
        <w:rPr>
          <w:i/>
          <w:lang w:val="en-US"/>
        </w:rPr>
        <w:t xml:space="preserve">er. Anal. Methods </w:t>
      </w:r>
      <w:proofErr w:type="spellStart"/>
      <w:proofErr w:type="gramStart"/>
      <w:r w:rsidRPr="00013DC1">
        <w:rPr>
          <w:i/>
          <w:lang w:val="en-US"/>
        </w:rPr>
        <w:t>Geomech</w:t>
      </w:r>
      <w:proofErr w:type="spellEnd"/>
      <w:r w:rsidR="00F430D4" w:rsidRPr="00013DC1">
        <w:rPr>
          <w:i/>
          <w:lang w:val="en-US"/>
        </w:rPr>
        <w:t>.</w:t>
      </w:r>
      <w:r w:rsidRPr="00013DC1">
        <w:rPr>
          <w:i/>
          <w:lang w:val="en-US"/>
        </w:rPr>
        <w:t>,</w:t>
      </w:r>
      <w:proofErr w:type="gramEnd"/>
      <w:r w:rsidRPr="00013DC1">
        <w:rPr>
          <w:i/>
          <w:lang w:val="en-US"/>
        </w:rPr>
        <w:t xml:space="preserve"> </w:t>
      </w:r>
      <w:r w:rsidRPr="00013DC1">
        <w:rPr>
          <w:lang w:val="en-US"/>
        </w:rPr>
        <w:t>Vol. 37: 932-944.</w:t>
      </w:r>
    </w:p>
    <w:p w:rsidR="00F430D4" w:rsidRPr="00013DC1" w:rsidRDefault="00F430D4" w:rsidP="002F0F8E">
      <w:pPr>
        <w:pStyle w:val="Referencia"/>
        <w:rPr>
          <w:lang w:val="en-US"/>
        </w:rPr>
      </w:pPr>
      <w:proofErr w:type="spellStart"/>
      <w:r w:rsidRPr="00013DC1">
        <w:rPr>
          <w:lang w:val="en-US"/>
        </w:rPr>
        <w:t>Likos</w:t>
      </w:r>
      <w:proofErr w:type="spellEnd"/>
      <w:r w:rsidRPr="00013DC1">
        <w:rPr>
          <w:lang w:val="en-US"/>
        </w:rPr>
        <w:t xml:space="preserve"> J. P. (2009). “Pore-scale model for water retention in unsaturated sand”, </w:t>
      </w:r>
      <w:r w:rsidRPr="00013DC1">
        <w:rPr>
          <w:i/>
          <w:lang w:val="en-US"/>
        </w:rPr>
        <w:t>Proceedings of the 6</w:t>
      </w:r>
      <w:r w:rsidRPr="00013DC1">
        <w:rPr>
          <w:i/>
          <w:vertAlign w:val="superscript"/>
          <w:lang w:val="en-US"/>
        </w:rPr>
        <w:t>th</w:t>
      </w:r>
      <w:r w:rsidRPr="00013DC1">
        <w:rPr>
          <w:i/>
          <w:lang w:val="en-US"/>
        </w:rPr>
        <w:t xml:space="preserve"> International Conference on Mic</w:t>
      </w:r>
      <w:r w:rsidR="000D0B57" w:rsidRPr="00013DC1">
        <w:rPr>
          <w:i/>
          <w:lang w:val="en-US"/>
        </w:rPr>
        <w:t>r</w:t>
      </w:r>
      <w:r w:rsidRPr="00013DC1">
        <w:rPr>
          <w:i/>
          <w:lang w:val="en-US"/>
        </w:rPr>
        <w:t>omechanics of Granular media,</w:t>
      </w:r>
      <w:r w:rsidRPr="00013DC1">
        <w:rPr>
          <w:lang w:val="en-US"/>
        </w:rPr>
        <w:t xml:space="preserve"> American Institute</w:t>
      </w:r>
      <w:r w:rsidR="00B75A81" w:rsidRPr="00013DC1">
        <w:rPr>
          <w:lang w:val="en-US"/>
        </w:rPr>
        <w:t xml:space="preserve"> of Physics, Vol. 1145: 907-910.</w:t>
      </w:r>
    </w:p>
    <w:p w:rsidR="00956D27" w:rsidRPr="00013DC1" w:rsidRDefault="004B0250" w:rsidP="002F0F8E">
      <w:pPr>
        <w:pStyle w:val="Referencia"/>
        <w:rPr>
          <w:lang w:val="es-MX"/>
        </w:rPr>
      </w:pPr>
      <w:r w:rsidRPr="00013DC1">
        <w:rPr>
          <w:lang w:val="es-MX"/>
        </w:rPr>
        <w:t xml:space="preserve">Lu N. y </w:t>
      </w:r>
      <w:proofErr w:type="spellStart"/>
      <w:r w:rsidRPr="00013DC1">
        <w:rPr>
          <w:lang w:val="es-MX"/>
        </w:rPr>
        <w:t>Likos</w:t>
      </w:r>
      <w:proofErr w:type="spellEnd"/>
      <w:r w:rsidRPr="00013DC1">
        <w:rPr>
          <w:lang w:val="es-MX"/>
        </w:rPr>
        <w:t xml:space="preserve"> W. J. (2004). </w:t>
      </w:r>
      <w:r w:rsidRPr="00013DC1">
        <w:rPr>
          <w:lang w:val="en-US"/>
        </w:rPr>
        <w:t xml:space="preserve">“Unsaturated soil mechanics”, </w:t>
      </w:r>
      <w:r w:rsidRPr="00013DC1">
        <w:rPr>
          <w:i/>
          <w:lang w:val="en-US"/>
        </w:rPr>
        <w:t xml:space="preserve">John Wiley &amp; Sons, </w:t>
      </w:r>
      <w:r w:rsidRPr="00013DC1">
        <w:rPr>
          <w:lang w:val="en-US"/>
        </w:rPr>
        <w:t xml:space="preserve">Inc. </w:t>
      </w:r>
      <w:r w:rsidRPr="00013DC1">
        <w:rPr>
          <w:lang w:val="es-MX"/>
        </w:rPr>
        <w:t>New Jersey.</w:t>
      </w:r>
    </w:p>
    <w:p w:rsidR="005B14CD" w:rsidRPr="00013DC1" w:rsidRDefault="00506E25" w:rsidP="002F0F8E">
      <w:pPr>
        <w:pStyle w:val="Referencia"/>
        <w:rPr>
          <w:lang w:val="es-MX"/>
        </w:rPr>
      </w:pPr>
      <w:r w:rsidRPr="00013DC1">
        <w:rPr>
          <w:lang w:val="es-MX"/>
        </w:rPr>
        <w:t xml:space="preserve">Máximo P. (2012). “Dinámica de la penetración capilar en estructuras complejas”, </w:t>
      </w:r>
      <w:r w:rsidRPr="00013DC1">
        <w:rPr>
          <w:i/>
          <w:lang w:val="es-MX"/>
        </w:rPr>
        <w:t>Tesis de Doctorado</w:t>
      </w:r>
      <w:r w:rsidRPr="00013DC1">
        <w:rPr>
          <w:lang w:val="es-MX"/>
        </w:rPr>
        <w:t>, Universidad Autónoma de Querétaro, Querétaro, México.</w:t>
      </w:r>
    </w:p>
    <w:p w:rsidR="00506E25" w:rsidRPr="00013DC1" w:rsidRDefault="00506E25" w:rsidP="002F0F8E">
      <w:pPr>
        <w:pStyle w:val="Referencia"/>
        <w:rPr>
          <w:lang w:val="es-MX"/>
        </w:rPr>
      </w:pPr>
      <w:r w:rsidRPr="00013DC1">
        <w:rPr>
          <w:lang w:val="es-MX"/>
        </w:rPr>
        <w:t xml:space="preserve">Meza A. (2012). “Suelos parcialmente saturados, de la investigación a la catedra universitaria”, </w:t>
      </w:r>
      <w:r w:rsidRPr="00013DC1">
        <w:rPr>
          <w:i/>
          <w:lang w:val="es-MX"/>
        </w:rPr>
        <w:t>Boletín de Ciencias de la Tierra,</w:t>
      </w:r>
      <w:r w:rsidRPr="00013DC1">
        <w:rPr>
          <w:lang w:val="es-MX"/>
        </w:rPr>
        <w:t xml:space="preserve"> Medellín, Colombia, Vol. 31: 23-28.</w:t>
      </w:r>
    </w:p>
    <w:p w:rsidR="00506E25" w:rsidRPr="00013DC1" w:rsidRDefault="00506E25" w:rsidP="002F0F8E">
      <w:pPr>
        <w:pStyle w:val="Referencia"/>
        <w:rPr>
          <w:lang w:val="en-US"/>
        </w:rPr>
      </w:pPr>
      <w:proofErr w:type="spellStart"/>
      <w:r w:rsidRPr="00013DC1">
        <w:rPr>
          <w:lang w:val="en-US"/>
        </w:rPr>
        <w:t>Mualem</w:t>
      </w:r>
      <w:proofErr w:type="spellEnd"/>
      <w:r w:rsidRPr="00013DC1">
        <w:rPr>
          <w:lang w:val="en-US"/>
        </w:rPr>
        <w:t xml:space="preserve"> Y. (1986). “Hydraulic conductivity of unsaturated soils: prediction and formulas”, Invited </w:t>
      </w:r>
      <w:r w:rsidRPr="00013DC1">
        <w:rPr>
          <w:lang w:val="en-US"/>
        </w:rPr>
        <w:lastRenderedPageBreak/>
        <w:t xml:space="preserve">review, Chapter 31, Monograph No. 9 of the ASA: </w:t>
      </w:r>
      <w:r w:rsidRPr="00013DC1">
        <w:rPr>
          <w:i/>
          <w:lang w:val="en-US"/>
        </w:rPr>
        <w:t>Methods of Soil Analysis</w:t>
      </w:r>
      <w:r w:rsidRPr="00013DC1">
        <w:rPr>
          <w:lang w:val="en-US"/>
        </w:rPr>
        <w:t xml:space="preserve">, Part 1, </w:t>
      </w:r>
      <w:proofErr w:type="gramStart"/>
      <w:r w:rsidRPr="00013DC1">
        <w:rPr>
          <w:lang w:val="en-US"/>
        </w:rPr>
        <w:t>Edited</w:t>
      </w:r>
      <w:proofErr w:type="gramEnd"/>
      <w:r w:rsidRPr="00013DC1">
        <w:rPr>
          <w:lang w:val="en-US"/>
        </w:rPr>
        <w:t xml:space="preserve"> by A. </w:t>
      </w:r>
      <w:proofErr w:type="spellStart"/>
      <w:r w:rsidRPr="00013DC1">
        <w:rPr>
          <w:lang w:val="en-US"/>
        </w:rPr>
        <w:t>Klute</w:t>
      </w:r>
      <w:proofErr w:type="spellEnd"/>
      <w:r w:rsidRPr="00013DC1">
        <w:rPr>
          <w:lang w:val="en-US"/>
        </w:rPr>
        <w:t>.</w:t>
      </w:r>
    </w:p>
    <w:p w:rsidR="00506E25" w:rsidRPr="00013DC1" w:rsidRDefault="00B05778" w:rsidP="002F0F8E">
      <w:pPr>
        <w:pStyle w:val="Referencia"/>
        <w:rPr>
          <w:lang w:val="en-US"/>
        </w:rPr>
      </w:pPr>
      <w:proofErr w:type="spellStart"/>
      <w:r w:rsidRPr="00013DC1">
        <w:rPr>
          <w:lang w:val="en-US"/>
        </w:rPr>
        <w:t>Puppala</w:t>
      </w:r>
      <w:proofErr w:type="spellEnd"/>
      <w:r w:rsidRPr="00013DC1">
        <w:rPr>
          <w:lang w:val="en-US"/>
        </w:rPr>
        <w:t xml:space="preserve"> J. P., </w:t>
      </w:r>
      <w:proofErr w:type="spellStart"/>
      <w:r w:rsidRPr="00013DC1">
        <w:rPr>
          <w:lang w:val="en-US"/>
        </w:rPr>
        <w:t>Manossuthikij</w:t>
      </w:r>
      <w:proofErr w:type="spellEnd"/>
      <w:r w:rsidRPr="00013DC1">
        <w:rPr>
          <w:lang w:val="en-US"/>
        </w:rPr>
        <w:t xml:space="preserve"> T. y </w:t>
      </w:r>
      <w:proofErr w:type="spellStart"/>
      <w:r w:rsidRPr="00013DC1">
        <w:rPr>
          <w:lang w:val="en-US"/>
        </w:rPr>
        <w:t>Chittoori</w:t>
      </w:r>
      <w:proofErr w:type="spellEnd"/>
      <w:r w:rsidRPr="00013DC1">
        <w:rPr>
          <w:lang w:val="en-US"/>
        </w:rPr>
        <w:t xml:space="preserve"> C. S. (2013). “Swell shrinkage characterization of unsaturated expansive clays from Texas”, </w:t>
      </w:r>
      <w:r w:rsidRPr="00013DC1">
        <w:rPr>
          <w:i/>
          <w:lang w:val="en-US"/>
        </w:rPr>
        <w:t>Engineering Geology,</w:t>
      </w:r>
      <w:r w:rsidRPr="00013DC1">
        <w:rPr>
          <w:lang w:val="en-US"/>
        </w:rPr>
        <w:t xml:space="preserve"> Vol. 164: 187-194.</w:t>
      </w:r>
    </w:p>
    <w:p w:rsidR="00741DA8" w:rsidRPr="00013DC1" w:rsidRDefault="00741DA8" w:rsidP="002F0F8E">
      <w:pPr>
        <w:pStyle w:val="Referencia"/>
        <w:rPr>
          <w:lang w:val="en-US"/>
        </w:rPr>
      </w:pPr>
      <w:r w:rsidRPr="00013DC1">
        <w:rPr>
          <w:lang w:val="en-US"/>
        </w:rPr>
        <w:t xml:space="preserve">Rojas E. (2008). “Equivalent stress equation for unsaturated soils, II: solid-porous model”, </w:t>
      </w:r>
      <w:r w:rsidRPr="00013DC1">
        <w:rPr>
          <w:i/>
          <w:lang w:val="en-US"/>
        </w:rPr>
        <w:t xml:space="preserve">International journal of </w:t>
      </w:r>
      <w:proofErr w:type="spellStart"/>
      <w:r w:rsidRPr="00013DC1">
        <w:rPr>
          <w:i/>
          <w:lang w:val="en-US"/>
        </w:rPr>
        <w:t>Geomechanics</w:t>
      </w:r>
      <w:proofErr w:type="spellEnd"/>
      <w:r w:rsidRPr="00013DC1">
        <w:rPr>
          <w:i/>
          <w:lang w:val="en-US"/>
        </w:rPr>
        <w:t>,</w:t>
      </w:r>
      <w:r w:rsidRPr="00013DC1">
        <w:rPr>
          <w:lang w:val="en-US"/>
        </w:rPr>
        <w:t xml:space="preserve"> Vol. 8(5): 291-299.</w:t>
      </w:r>
    </w:p>
    <w:p w:rsidR="007D1E3A" w:rsidRPr="00013DC1" w:rsidRDefault="00390B4D" w:rsidP="007D1E3A">
      <w:pPr>
        <w:pStyle w:val="Referencia"/>
        <w:rPr>
          <w:lang w:val="en-US"/>
        </w:rPr>
      </w:pPr>
      <w:r w:rsidRPr="00013DC1">
        <w:rPr>
          <w:lang w:val="es-MX"/>
        </w:rPr>
        <w:t xml:space="preserve">Rojas E. y </w:t>
      </w:r>
      <w:r w:rsidR="007D1E3A" w:rsidRPr="00013DC1">
        <w:rPr>
          <w:lang w:val="es-MX"/>
        </w:rPr>
        <w:t>Chávez</w:t>
      </w:r>
      <w:r w:rsidRPr="00013DC1">
        <w:rPr>
          <w:lang w:val="es-MX"/>
        </w:rPr>
        <w:t xml:space="preserve"> O. (2013). </w:t>
      </w:r>
      <w:r w:rsidRPr="00013DC1">
        <w:rPr>
          <w:lang w:val="en-US"/>
        </w:rPr>
        <w:t xml:space="preserve">“Volumetric behavior of unsaturated soils”. </w:t>
      </w:r>
      <w:r w:rsidRPr="00013DC1">
        <w:rPr>
          <w:i/>
          <w:lang w:val="en-US"/>
        </w:rPr>
        <w:t>Canadian Geotechnical Journal,</w:t>
      </w:r>
      <w:r w:rsidRPr="00013DC1">
        <w:rPr>
          <w:lang w:val="en-US"/>
        </w:rPr>
        <w:t xml:space="preserve"> Vol. 50: 209-222.</w:t>
      </w:r>
    </w:p>
    <w:p w:rsidR="007D1E3A" w:rsidRPr="00013DC1" w:rsidRDefault="007D1E3A" w:rsidP="00AF3C6A">
      <w:pPr>
        <w:pStyle w:val="Referencia"/>
        <w:rPr>
          <w:lang w:val="en-US"/>
        </w:rPr>
      </w:pPr>
      <w:r w:rsidRPr="00013DC1">
        <w:rPr>
          <w:lang w:val="en-US"/>
        </w:rPr>
        <w:t xml:space="preserve">Van </w:t>
      </w:r>
      <w:proofErr w:type="spellStart"/>
      <w:r w:rsidRPr="00013DC1">
        <w:rPr>
          <w:lang w:val="en-US"/>
        </w:rPr>
        <w:t>Genuchten</w:t>
      </w:r>
      <w:proofErr w:type="spellEnd"/>
      <w:r w:rsidRPr="00013DC1">
        <w:rPr>
          <w:lang w:val="en-US"/>
        </w:rPr>
        <w:t xml:space="preserve"> M. Th. (1980). “A closed-form equation for predicting the hydraulic conductivity of unsaturated soils”, </w:t>
      </w:r>
      <w:r w:rsidRPr="00013DC1">
        <w:rPr>
          <w:i/>
          <w:lang w:val="en-US"/>
        </w:rPr>
        <w:t>Soil Sci. Soc. Am. J.</w:t>
      </w:r>
      <w:r w:rsidRPr="00013DC1">
        <w:rPr>
          <w:lang w:val="en-US"/>
        </w:rPr>
        <w:t>, Vol. 14: 892-898.</w:t>
      </w:r>
    </w:p>
    <w:p w:rsidR="00741DA8" w:rsidRPr="00013DC1" w:rsidRDefault="002F218A" w:rsidP="002F218A">
      <w:pPr>
        <w:pStyle w:val="Referencia"/>
        <w:rPr>
          <w:lang w:val="en-US"/>
        </w:rPr>
      </w:pPr>
      <w:proofErr w:type="spellStart"/>
      <w:r w:rsidRPr="00013DC1">
        <w:rPr>
          <w:lang w:val="es-MX"/>
        </w:rPr>
        <w:t>Viaene</w:t>
      </w:r>
      <w:proofErr w:type="spellEnd"/>
      <w:r w:rsidRPr="00013DC1">
        <w:rPr>
          <w:lang w:val="es-MX"/>
        </w:rPr>
        <w:t xml:space="preserve"> P., </w:t>
      </w:r>
      <w:proofErr w:type="spellStart"/>
      <w:r w:rsidRPr="00013DC1">
        <w:rPr>
          <w:lang w:val="es-MX"/>
        </w:rPr>
        <w:t>Vereecken</w:t>
      </w:r>
      <w:proofErr w:type="spellEnd"/>
      <w:r w:rsidRPr="00013DC1">
        <w:rPr>
          <w:lang w:val="es-MX"/>
        </w:rPr>
        <w:t xml:space="preserve"> H., </w:t>
      </w:r>
      <w:proofErr w:type="spellStart"/>
      <w:r w:rsidRPr="00013DC1">
        <w:rPr>
          <w:lang w:val="es-MX"/>
        </w:rPr>
        <w:t>Diels</w:t>
      </w:r>
      <w:proofErr w:type="spellEnd"/>
      <w:r w:rsidRPr="00013DC1">
        <w:rPr>
          <w:lang w:val="es-MX"/>
        </w:rPr>
        <w:t xml:space="preserve"> J. y </w:t>
      </w:r>
      <w:proofErr w:type="spellStart"/>
      <w:r w:rsidRPr="00013DC1">
        <w:rPr>
          <w:lang w:val="es-MX"/>
        </w:rPr>
        <w:t>Feyen</w:t>
      </w:r>
      <w:proofErr w:type="spellEnd"/>
      <w:r w:rsidRPr="00013DC1">
        <w:rPr>
          <w:lang w:val="es-MX"/>
        </w:rPr>
        <w:t xml:space="preserve"> J. A. (1994). </w:t>
      </w:r>
      <w:r w:rsidRPr="00013DC1">
        <w:rPr>
          <w:lang w:val="en-US"/>
        </w:rPr>
        <w:t xml:space="preserve">“A statistical analysis of six hysteresis models for the moisture retention characteristic”, </w:t>
      </w:r>
      <w:r w:rsidRPr="00013DC1">
        <w:rPr>
          <w:i/>
          <w:lang w:val="en-US"/>
        </w:rPr>
        <w:t>Soil Sci.</w:t>
      </w:r>
      <w:r w:rsidRPr="00013DC1">
        <w:rPr>
          <w:lang w:val="en-US"/>
        </w:rPr>
        <w:t>, Vol. 157(6): 345-355.</w:t>
      </w:r>
    </w:p>
    <w:p w:rsidR="002F218A" w:rsidRPr="00013DC1" w:rsidRDefault="00044C4E" w:rsidP="00044C4E">
      <w:pPr>
        <w:pStyle w:val="Referencia"/>
        <w:rPr>
          <w:rFonts w:cs="Arial"/>
          <w:lang w:val="en-US"/>
        </w:rPr>
      </w:pPr>
      <w:r w:rsidRPr="00013DC1">
        <w:rPr>
          <w:lang w:val="en-US"/>
        </w:rPr>
        <w:t xml:space="preserve">Zhou C. (2009). “Modelling of suction effect on fabric yielding and kinematic hardening of reconstituted soils”, </w:t>
      </w:r>
      <w:r w:rsidRPr="00013DC1">
        <w:rPr>
          <w:rFonts w:cs="Arial"/>
          <w:i/>
          <w:lang w:val="en-US"/>
        </w:rPr>
        <w:t>In: Unsaturated Soils – Theoretical &amp; Numerical Advances in Unsaturated Soil Mechanics</w:t>
      </w:r>
      <w:r w:rsidRPr="00013DC1">
        <w:rPr>
          <w:rFonts w:cs="Arial"/>
          <w:lang w:val="en-US"/>
        </w:rPr>
        <w:t xml:space="preserve"> (</w:t>
      </w:r>
      <w:proofErr w:type="spellStart"/>
      <w:r w:rsidRPr="00013DC1">
        <w:rPr>
          <w:rFonts w:cs="Arial"/>
          <w:lang w:val="en-US"/>
        </w:rPr>
        <w:t>Buzzi</w:t>
      </w:r>
      <w:proofErr w:type="spellEnd"/>
      <w:r w:rsidRPr="00013DC1">
        <w:rPr>
          <w:rFonts w:cs="Arial"/>
          <w:lang w:val="en-US"/>
        </w:rPr>
        <w:t xml:space="preserve"> O, </w:t>
      </w:r>
      <w:proofErr w:type="spellStart"/>
      <w:r w:rsidRPr="00013DC1">
        <w:rPr>
          <w:rFonts w:cs="Arial"/>
          <w:lang w:val="en-US"/>
        </w:rPr>
        <w:t>Fityus</w:t>
      </w:r>
      <w:proofErr w:type="spellEnd"/>
      <w:r w:rsidRPr="00013DC1">
        <w:rPr>
          <w:rFonts w:cs="Arial"/>
          <w:lang w:val="en-US"/>
        </w:rPr>
        <w:t xml:space="preserve"> SG &amp; Sheng D, </w:t>
      </w:r>
      <w:proofErr w:type="spellStart"/>
      <w:r w:rsidRPr="00013DC1">
        <w:rPr>
          <w:rFonts w:cs="Arial"/>
          <w:lang w:val="en-US"/>
        </w:rPr>
        <w:t>eds</w:t>
      </w:r>
      <w:proofErr w:type="spellEnd"/>
      <w:r w:rsidRPr="00013DC1">
        <w:rPr>
          <w:rFonts w:cs="Arial"/>
          <w:lang w:val="en-US"/>
        </w:rPr>
        <w:t xml:space="preserve">), CRC Press, </w:t>
      </w:r>
      <w:proofErr w:type="spellStart"/>
      <w:r w:rsidRPr="00013DC1">
        <w:rPr>
          <w:rFonts w:cs="Arial"/>
          <w:lang w:val="en-US"/>
        </w:rPr>
        <w:t>pp</w:t>
      </w:r>
      <w:proofErr w:type="spellEnd"/>
      <w:r w:rsidRPr="00013DC1">
        <w:rPr>
          <w:rFonts w:cs="Arial"/>
          <w:lang w:val="en-US"/>
        </w:rPr>
        <w:t>: 629-634.</w:t>
      </w:r>
    </w:p>
    <w:p w:rsidR="00B45411" w:rsidRPr="00A57AFF" w:rsidRDefault="00A36EA0" w:rsidP="00A36EA0">
      <w:pPr>
        <w:pStyle w:val="Referencia"/>
        <w:rPr>
          <w:lang w:val="en-US"/>
        </w:rPr>
      </w:pPr>
      <w:r w:rsidRPr="00013DC1">
        <w:rPr>
          <w:rFonts w:cs="Arial"/>
          <w:lang w:val="en-US"/>
        </w:rPr>
        <w:t xml:space="preserve">Zhou A. N., Sheng D., Sloan S. W. y Gens A. (2012). “Interpretation of unsaturated soil behavior in the stress-saturation space, I: volume change and water retention behavior”. </w:t>
      </w:r>
      <w:r w:rsidRPr="00013DC1">
        <w:rPr>
          <w:rFonts w:cs="Arial"/>
          <w:i/>
          <w:lang w:val="en-US"/>
        </w:rPr>
        <w:t xml:space="preserve">Computer and </w:t>
      </w:r>
      <w:proofErr w:type="spellStart"/>
      <w:r w:rsidRPr="00013DC1">
        <w:rPr>
          <w:rFonts w:cs="Arial"/>
          <w:i/>
          <w:lang w:val="en-US"/>
        </w:rPr>
        <w:t>Geotechnics</w:t>
      </w:r>
      <w:proofErr w:type="spellEnd"/>
      <w:r w:rsidRPr="00013DC1">
        <w:rPr>
          <w:rFonts w:cs="Arial"/>
          <w:lang w:val="en-US"/>
        </w:rPr>
        <w:t>, Vol. 43: 178-187.</w:t>
      </w:r>
    </w:p>
    <w:sectPr w:rsidR="00B45411" w:rsidRPr="00A57AFF" w:rsidSect="004231D1">
      <w:type w:val="continuous"/>
      <w:pgSz w:w="12240" w:h="15840" w:code="1"/>
      <w:pgMar w:top="1077" w:right="1264" w:bottom="1043" w:left="1264" w:header="567" w:footer="566" w:gutter="0"/>
      <w:cols w:num="2" w:space="284"/>
      <w:formProt w:val="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9C" w:rsidRDefault="00783C9C">
      <w:r>
        <w:separator/>
      </w:r>
    </w:p>
    <w:p w:rsidR="00783C9C" w:rsidRDefault="00783C9C"/>
    <w:p w:rsidR="00783C9C" w:rsidRDefault="00783C9C" w:rsidP="0034607E"/>
    <w:p w:rsidR="00783C9C" w:rsidRDefault="00783C9C"/>
    <w:p w:rsidR="00783C9C" w:rsidRDefault="00783C9C" w:rsidP="006E384E"/>
    <w:p w:rsidR="00783C9C" w:rsidRDefault="00783C9C"/>
    <w:p w:rsidR="00783C9C" w:rsidRDefault="00783C9C"/>
  </w:endnote>
  <w:endnote w:type="continuationSeparator" w:id="0">
    <w:p w:rsidR="00783C9C" w:rsidRDefault="00783C9C">
      <w:r>
        <w:continuationSeparator/>
      </w:r>
    </w:p>
    <w:p w:rsidR="00783C9C" w:rsidRDefault="00783C9C"/>
    <w:p w:rsidR="00783C9C" w:rsidRDefault="00783C9C" w:rsidP="0034607E"/>
    <w:p w:rsidR="00783C9C" w:rsidRDefault="00783C9C"/>
    <w:p w:rsidR="00783C9C" w:rsidRDefault="00783C9C" w:rsidP="006E384E"/>
    <w:p w:rsidR="00783C9C" w:rsidRDefault="00783C9C"/>
    <w:p w:rsidR="00783C9C" w:rsidRDefault="00783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alic">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F1" w:rsidRPr="00EF449F" w:rsidRDefault="005520F1" w:rsidP="00DF45A8">
    <w:pPr>
      <w:pStyle w:val="Piedepgina"/>
      <w:rPr>
        <w:rFonts w:ascii="Arial Narrow" w:hAnsi="Arial Narrow"/>
        <w:lang w:val="es-ES"/>
      </w:rPr>
    </w:pPr>
    <w:r w:rsidRPr="00EF449F">
      <w:rPr>
        <w:rFonts w:ascii="Arial Narrow" w:hAnsi="Arial Narrow"/>
        <w:lang w:val="es-ES"/>
      </w:rPr>
      <w:t>SOCIEDAD MEXICANA DE INGENIERÍA GEOTÉCNICA 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F1" w:rsidRPr="00EF449F" w:rsidRDefault="005520F1" w:rsidP="00EF449F">
    <w:pPr>
      <w:pStyle w:val="Piedepgina"/>
      <w:rPr>
        <w:rFonts w:ascii="Arial Narrow" w:hAnsi="Arial Narrow"/>
        <w:lang w:val="es-ES"/>
      </w:rPr>
    </w:pPr>
    <w:r w:rsidRPr="00EF449F">
      <w:rPr>
        <w:rFonts w:ascii="Arial Narrow" w:hAnsi="Arial Narrow"/>
        <w:lang w:val="es-ES"/>
      </w:rPr>
      <w:t>SOCIEDAD MEXICANA DE INGENIERÍA GEOTÉCNICA 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F1" w:rsidRPr="00EF449F" w:rsidRDefault="005520F1" w:rsidP="00861B7E">
    <w:pPr>
      <w:pStyle w:val="Piedepgina"/>
      <w:pBdr>
        <w:top w:val="single" w:sz="4" w:space="1" w:color="auto"/>
      </w:pBdr>
      <w:rPr>
        <w:rFonts w:ascii="Arial Narrow" w:hAnsi="Arial Narrow"/>
        <w:lang w:val="es-ES"/>
      </w:rPr>
    </w:pPr>
    <w:r>
      <w:rPr>
        <w:rFonts w:ascii="Arial Narrow" w:hAnsi="Arial Narrow"/>
        <w:lang w:val="es-ES"/>
      </w:rPr>
      <w:t>S</w:t>
    </w:r>
    <w:r w:rsidRPr="00EF449F">
      <w:rPr>
        <w:rFonts w:ascii="Arial Narrow" w:hAnsi="Arial Narrow"/>
        <w:lang w:val="es-ES"/>
      </w:rPr>
      <w:t xml:space="preserve">OCIEDAD </w:t>
    </w:r>
    <w:r>
      <w:rPr>
        <w:rFonts w:ascii="Arial Narrow" w:hAnsi="Arial Narrow"/>
        <w:lang w:val="es-ES"/>
      </w:rPr>
      <w:t>M</w:t>
    </w:r>
    <w:r w:rsidRPr="00EF449F">
      <w:rPr>
        <w:rFonts w:ascii="Arial Narrow" w:hAnsi="Arial Narrow"/>
        <w:lang w:val="es-ES"/>
      </w:rPr>
      <w:t xml:space="preserve">EXICANA DE </w:t>
    </w:r>
    <w:r>
      <w:rPr>
        <w:rFonts w:ascii="Arial Narrow" w:hAnsi="Arial Narrow"/>
        <w:lang w:val="es-ES"/>
      </w:rPr>
      <w:t>I</w:t>
    </w:r>
    <w:r w:rsidRPr="00EF449F">
      <w:rPr>
        <w:rFonts w:ascii="Arial Narrow" w:hAnsi="Arial Narrow"/>
        <w:lang w:val="es-ES"/>
      </w:rPr>
      <w:t xml:space="preserve">NGENIERÍA </w:t>
    </w:r>
    <w:r>
      <w:rPr>
        <w:rFonts w:ascii="Arial Narrow" w:hAnsi="Arial Narrow"/>
        <w:lang w:val="es-ES"/>
      </w:rPr>
      <w:t>G</w:t>
    </w:r>
    <w:r w:rsidRPr="00EF449F">
      <w:rPr>
        <w:rFonts w:ascii="Arial Narrow" w:hAnsi="Arial Narrow"/>
        <w:lang w:val="es-ES"/>
      </w:rPr>
      <w:t xml:space="preserve">EOTÉCNICA </w:t>
    </w:r>
    <w:r>
      <w:rPr>
        <w:rFonts w:ascii="Arial Narrow" w:hAnsi="Arial Narrow"/>
        <w:lang w:val="es-ES"/>
      </w:rPr>
      <w:t>A</w:t>
    </w:r>
    <w:r w:rsidRPr="00EF449F">
      <w:rPr>
        <w:rFonts w:ascii="Arial Narrow" w:hAnsi="Arial Narrow"/>
        <w:lang w:val="es-ES"/>
      </w:rPr>
      <w:t>.</w:t>
    </w:r>
    <w:r>
      <w:rPr>
        <w:rFonts w:ascii="Arial Narrow" w:hAnsi="Arial Narrow"/>
        <w:lang w:val="es-ES"/>
      </w:rPr>
      <w:t>C</w:t>
    </w:r>
    <w:r w:rsidRPr="00EF449F">
      <w:rPr>
        <w:rFonts w:ascii="Arial Narrow" w:hAnsi="Arial Narrow"/>
        <w:lang w:val="es-E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F1" w:rsidRPr="00EF449F" w:rsidRDefault="005520F1" w:rsidP="00861B7E">
    <w:pPr>
      <w:pStyle w:val="Piedepgina"/>
      <w:pBdr>
        <w:top w:val="single" w:sz="4" w:space="1" w:color="auto"/>
      </w:pBdr>
      <w:rPr>
        <w:rFonts w:ascii="Arial Narrow" w:hAnsi="Arial Narrow"/>
        <w:lang w:val="es-ES"/>
      </w:rPr>
    </w:pPr>
    <w:r w:rsidRPr="00EF449F">
      <w:rPr>
        <w:rFonts w:ascii="Arial Narrow" w:hAnsi="Arial Narrow"/>
        <w:lang w:val="es-ES"/>
      </w:rPr>
      <w:t>SOCIEDAD MEXICANA DE INGENIERÍA GEOTÉCNICA 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F1" w:rsidRPr="00EF449F" w:rsidRDefault="005520F1" w:rsidP="00861B7E">
    <w:pPr>
      <w:pStyle w:val="Piedepgina"/>
      <w:pBdr>
        <w:top w:val="single" w:sz="4" w:space="1" w:color="auto"/>
      </w:pBdr>
      <w:rPr>
        <w:rFonts w:ascii="Arial Narrow" w:hAnsi="Arial Narrow"/>
        <w:lang w:val="es-ES"/>
      </w:rPr>
    </w:pPr>
    <w:r w:rsidRPr="00EF449F">
      <w:rPr>
        <w:rFonts w:ascii="Arial Narrow" w:hAnsi="Arial Narrow"/>
        <w:lang w:val="es-ES"/>
      </w:rPr>
      <w:t>SOCIEDAD MEXICANA DE INGENIERÍA GEOTÉCNICA 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F1" w:rsidRPr="00EF449F" w:rsidRDefault="005520F1" w:rsidP="00DA1CE9">
    <w:pPr>
      <w:pStyle w:val="Piedepgina"/>
      <w:rPr>
        <w:rFonts w:ascii="Arial Narrow" w:hAnsi="Arial Narrow"/>
        <w:lang w:val="es-ES"/>
      </w:rPr>
    </w:pPr>
    <w:r>
      <w:rPr>
        <w:rFonts w:ascii="Arial Narrow" w:hAnsi="Arial Narrow"/>
        <w:lang w:val="es-ES"/>
      </w:rPr>
      <w:t>S</w:t>
    </w:r>
    <w:r w:rsidRPr="00EF449F">
      <w:rPr>
        <w:rFonts w:ascii="Arial Narrow" w:hAnsi="Arial Narrow"/>
        <w:lang w:val="es-ES"/>
      </w:rPr>
      <w:t xml:space="preserve">OCIEDAD </w:t>
    </w:r>
    <w:r>
      <w:rPr>
        <w:rFonts w:ascii="Arial Narrow" w:hAnsi="Arial Narrow"/>
        <w:lang w:val="es-ES"/>
      </w:rPr>
      <w:t>M</w:t>
    </w:r>
    <w:r w:rsidRPr="00EF449F">
      <w:rPr>
        <w:rFonts w:ascii="Arial Narrow" w:hAnsi="Arial Narrow"/>
        <w:lang w:val="es-ES"/>
      </w:rPr>
      <w:t xml:space="preserve">EXICANA DE </w:t>
    </w:r>
    <w:r>
      <w:rPr>
        <w:rFonts w:ascii="Arial Narrow" w:hAnsi="Arial Narrow"/>
        <w:lang w:val="es-ES"/>
      </w:rPr>
      <w:t>I</w:t>
    </w:r>
    <w:r w:rsidRPr="00EF449F">
      <w:rPr>
        <w:rFonts w:ascii="Arial Narrow" w:hAnsi="Arial Narrow"/>
        <w:lang w:val="es-ES"/>
      </w:rPr>
      <w:t xml:space="preserve">NGENIERÍA </w:t>
    </w:r>
    <w:r>
      <w:rPr>
        <w:rFonts w:ascii="Arial Narrow" w:hAnsi="Arial Narrow"/>
        <w:lang w:val="es-ES"/>
      </w:rPr>
      <w:t>G</w:t>
    </w:r>
    <w:r w:rsidRPr="00EF449F">
      <w:rPr>
        <w:rFonts w:ascii="Arial Narrow" w:hAnsi="Arial Narrow"/>
        <w:lang w:val="es-ES"/>
      </w:rPr>
      <w:t xml:space="preserve">EOTÉCNICA </w:t>
    </w:r>
    <w:r>
      <w:rPr>
        <w:rFonts w:ascii="Arial Narrow" w:hAnsi="Arial Narrow"/>
        <w:lang w:val="es-ES"/>
      </w:rPr>
      <w:t>A</w:t>
    </w:r>
    <w:r w:rsidRPr="00EF449F">
      <w:rPr>
        <w:rFonts w:ascii="Arial Narrow" w:hAnsi="Arial Narrow"/>
        <w:lang w:val="es-ES"/>
      </w:rPr>
      <w:t>.</w:t>
    </w:r>
    <w:r>
      <w:rPr>
        <w:rFonts w:ascii="Arial Narrow" w:hAnsi="Arial Narrow"/>
        <w:lang w:val="es-ES"/>
      </w:rPr>
      <w:t>C</w:t>
    </w:r>
    <w:r w:rsidRPr="00EF449F">
      <w:rPr>
        <w:rFonts w:ascii="Arial Narrow" w:hAnsi="Arial Narrow"/>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9C" w:rsidRDefault="00783C9C">
      <w:r>
        <w:separator/>
      </w:r>
    </w:p>
    <w:p w:rsidR="00783C9C" w:rsidRDefault="00783C9C"/>
    <w:p w:rsidR="00783C9C" w:rsidRDefault="00783C9C" w:rsidP="0034607E"/>
    <w:p w:rsidR="00783C9C" w:rsidRDefault="00783C9C"/>
    <w:p w:rsidR="00783C9C" w:rsidRDefault="00783C9C" w:rsidP="006E384E"/>
    <w:p w:rsidR="00783C9C" w:rsidRDefault="00783C9C"/>
    <w:p w:rsidR="00783C9C" w:rsidRDefault="00783C9C"/>
  </w:footnote>
  <w:footnote w:type="continuationSeparator" w:id="0">
    <w:p w:rsidR="00783C9C" w:rsidRDefault="00783C9C">
      <w:r>
        <w:continuationSeparator/>
      </w:r>
    </w:p>
    <w:p w:rsidR="00783C9C" w:rsidRDefault="00783C9C"/>
    <w:p w:rsidR="00783C9C" w:rsidRDefault="00783C9C" w:rsidP="0034607E"/>
    <w:p w:rsidR="00783C9C" w:rsidRDefault="00783C9C"/>
    <w:p w:rsidR="00783C9C" w:rsidRDefault="00783C9C" w:rsidP="006E384E"/>
    <w:p w:rsidR="00783C9C" w:rsidRDefault="00783C9C"/>
    <w:p w:rsidR="00783C9C" w:rsidRDefault="00783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59"/>
    </w:tblGrid>
    <w:tr w:rsidR="005520F1" w:rsidRPr="00536F18" w:rsidTr="00197955">
      <w:trPr>
        <w:trHeight w:val="714"/>
      </w:trPr>
      <w:tc>
        <w:tcPr>
          <w:tcW w:w="754" w:type="dxa"/>
          <w:tcBorders>
            <w:top w:val="nil"/>
            <w:left w:val="nil"/>
          </w:tcBorders>
          <w:vAlign w:val="center"/>
        </w:tcPr>
        <w:p w:rsidR="005520F1" w:rsidRPr="00646259" w:rsidRDefault="005520F1" w:rsidP="00737DA5">
          <w:pPr>
            <w:pStyle w:val="Encabezado"/>
            <w:ind w:firstLine="0"/>
            <w:jc w:val="center"/>
            <w:rPr>
              <w:rFonts w:ascii="Arial" w:hAnsi="Arial"/>
              <w:sz w:val="22"/>
              <w:szCs w:val="22"/>
              <w:lang w:val="es-ES" w:eastAsia="es-ES"/>
            </w:rPr>
          </w:pPr>
          <w:r w:rsidRPr="00646259">
            <w:rPr>
              <w:rFonts w:ascii="Arial" w:hAnsi="Arial"/>
              <w:sz w:val="22"/>
              <w:szCs w:val="22"/>
              <w:lang w:eastAsia="es-ES"/>
            </w:rPr>
            <w:fldChar w:fldCharType="begin"/>
          </w:r>
          <w:r w:rsidRPr="00646259">
            <w:rPr>
              <w:rFonts w:ascii="Arial" w:hAnsi="Arial"/>
              <w:sz w:val="22"/>
              <w:szCs w:val="22"/>
              <w:lang w:eastAsia="es-ES"/>
            </w:rPr>
            <w:instrText xml:space="preserve"> PAGE   \* MERGEFORMAT </w:instrText>
          </w:r>
          <w:r w:rsidRPr="00646259">
            <w:rPr>
              <w:rFonts w:ascii="Arial" w:hAnsi="Arial"/>
              <w:sz w:val="22"/>
              <w:szCs w:val="22"/>
              <w:lang w:eastAsia="es-ES"/>
            </w:rPr>
            <w:fldChar w:fldCharType="separate"/>
          </w:r>
          <w:r w:rsidRPr="00646259">
            <w:rPr>
              <w:rFonts w:ascii="Arial" w:hAnsi="Arial"/>
              <w:noProof/>
              <w:sz w:val="22"/>
              <w:szCs w:val="22"/>
              <w:lang w:eastAsia="es-ES"/>
            </w:rPr>
            <w:t>2</w:t>
          </w:r>
          <w:r w:rsidRPr="00646259">
            <w:rPr>
              <w:rFonts w:ascii="Arial" w:hAnsi="Arial"/>
              <w:sz w:val="22"/>
              <w:szCs w:val="22"/>
              <w:lang w:eastAsia="es-ES"/>
            </w:rPr>
            <w:fldChar w:fldCharType="end"/>
          </w:r>
        </w:p>
      </w:tc>
      <w:tc>
        <w:tcPr>
          <w:tcW w:w="8959" w:type="dxa"/>
          <w:tcBorders>
            <w:top w:val="nil"/>
            <w:right w:val="nil"/>
          </w:tcBorders>
          <w:vAlign w:val="center"/>
        </w:tcPr>
        <w:p w:rsidR="005520F1" w:rsidRPr="00646259" w:rsidRDefault="005520F1" w:rsidP="00737DA5">
          <w:pPr>
            <w:pStyle w:val="Encabezado"/>
            <w:ind w:firstLine="0"/>
            <w:jc w:val="left"/>
            <w:rPr>
              <w:rFonts w:ascii="Arial" w:hAnsi="Arial"/>
              <w:sz w:val="18"/>
              <w:szCs w:val="18"/>
              <w:lang w:eastAsia="es-ES"/>
            </w:rPr>
          </w:pPr>
          <w:proofErr w:type="spellStart"/>
          <w:r w:rsidRPr="00646259">
            <w:rPr>
              <w:rFonts w:ascii="Arial" w:hAnsi="Arial"/>
              <w:sz w:val="18"/>
              <w:szCs w:val="18"/>
              <w:lang w:eastAsia="es-ES"/>
            </w:rPr>
            <w:t>Título</w:t>
          </w:r>
          <w:proofErr w:type="spellEnd"/>
          <w:r w:rsidRPr="00646259">
            <w:rPr>
              <w:rFonts w:ascii="Arial" w:hAnsi="Arial"/>
              <w:sz w:val="18"/>
              <w:szCs w:val="18"/>
              <w:lang w:eastAsia="es-ES"/>
            </w:rPr>
            <w:t xml:space="preserve"> del </w:t>
          </w:r>
          <w:proofErr w:type="spellStart"/>
          <w:r w:rsidRPr="00646259">
            <w:rPr>
              <w:rFonts w:ascii="Arial" w:hAnsi="Arial"/>
              <w:sz w:val="18"/>
              <w:szCs w:val="18"/>
              <w:lang w:eastAsia="es-ES"/>
            </w:rPr>
            <w:t>trabajo</w:t>
          </w:r>
          <w:proofErr w:type="spellEnd"/>
        </w:p>
      </w:tc>
    </w:tr>
  </w:tbl>
  <w:p w:rsidR="005520F1" w:rsidRPr="00DF45A8" w:rsidRDefault="005520F1" w:rsidP="00536F18">
    <w:pPr>
      <w:pStyle w:val="Encabezado"/>
      <w:ind w:firstLine="0"/>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gridCol w:w="754"/>
    </w:tblGrid>
    <w:tr w:rsidR="005520F1" w:rsidRPr="00197955" w:rsidTr="002962DA">
      <w:trPr>
        <w:trHeight w:val="714"/>
      </w:trPr>
      <w:tc>
        <w:tcPr>
          <w:tcW w:w="8959" w:type="dxa"/>
          <w:tcBorders>
            <w:top w:val="nil"/>
            <w:left w:val="nil"/>
          </w:tcBorders>
          <w:vAlign w:val="center"/>
        </w:tcPr>
        <w:p w:rsidR="005520F1" w:rsidRPr="00646259" w:rsidRDefault="005520F1" w:rsidP="00197955">
          <w:pPr>
            <w:pStyle w:val="Encabezado"/>
            <w:ind w:firstLine="0"/>
            <w:jc w:val="right"/>
            <w:rPr>
              <w:rFonts w:ascii="Arial" w:hAnsi="Arial"/>
              <w:lang w:val="es-MX" w:eastAsia="es-ES"/>
            </w:rPr>
          </w:pPr>
          <w:r w:rsidRPr="00646259">
            <w:rPr>
              <w:rFonts w:ascii="Arial" w:hAnsi="Arial"/>
              <w:sz w:val="18"/>
              <w:szCs w:val="18"/>
              <w:lang w:val="es-ES" w:eastAsia="es-ES"/>
            </w:rPr>
            <w:t xml:space="preserve">(sólo poner primer autor, ver ejemplo) APELLIDO Inicial del nombre </w:t>
          </w:r>
          <w:r w:rsidRPr="00646259">
            <w:rPr>
              <w:rFonts w:ascii="Arial" w:hAnsi="Arial"/>
              <w:i/>
              <w:sz w:val="18"/>
              <w:szCs w:val="18"/>
              <w:lang w:val="es-ES" w:eastAsia="es-ES"/>
            </w:rPr>
            <w:t>et al.</w:t>
          </w:r>
        </w:p>
      </w:tc>
      <w:tc>
        <w:tcPr>
          <w:tcW w:w="754" w:type="dxa"/>
          <w:tcBorders>
            <w:top w:val="nil"/>
            <w:right w:val="nil"/>
          </w:tcBorders>
          <w:vAlign w:val="center"/>
        </w:tcPr>
        <w:p w:rsidR="005520F1" w:rsidRPr="00646259" w:rsidRDefault="005520F1" w:rsidP="00197955">
          <w:pPr>
            <w:pStyle w:val="Encabezado"/>
            <w:ind w:firstLine="0"/>
            <w:jc w:val="center"/>
            <w:rPr>
              <w:rFonts w:ascii="Arial" w:hAnsi="Arial"/>
              <w:sz w:val="22"/>
              <w:szCs w:val="22"/>
              <w:lang w:eastAsia="es-ES"/>
            </w:rPr>
          </w:pPr>
          <w:r w:rsidRPr="00646259">
            <w:rPr>
              <w:rFonts w:ascii="Arial" w:hAnsi="Arial"/>
              <w:sz w:val="22"/>
              <w:szCs w:val="22"/>
              <w:lang w:eastAsia="es-ES"/>
            </w:rPr>
            <w:fldChar w:fldCharType="begin"/>
          </w:r>
          <w:r w:rsidRPr="00646259">
            <w:rPr>
              <w:rFonts w:ascii="Arial" w:hAnsi="Arial"/>
              <w:sz w:val="22"/>
              <w:szCs w:val="22"/>
              <w:lang w:eastAsia="es-ES"/>
            </w:rPr>
            <w:instrText xml:space="preserve"> PAGE   \* MERGEFORMAT </w:instrText>
          </w:r>
          <w:r w:rsidRPr="00646259">
            <w:rPr>
              <w:rFonts w:ascii="Arial" w:hAnsi="Arial"/>
              <w:sz w:val="22"/>
              <w:szCs w:val="22"/>
              <w:lang w:eastAsia="es-ES"/>
            </w:rPr>
            <w:fldChar w:fldCharType="separate"/>
          </w:r>
          <w:r w:rsidRPr="00646259">
            <w:rPr>
              <w:rFonts w:ascii="Arial" w:hAnsi="Arial"/>
              <w:noProof/>
              <w:sz w:val="22"/>
              <w:szCs w:val="22"/>
              <w:lang w:eastAsia="es-ES"/>
            </w:rPr>
            <w:t>3</w:t>
          </w:r>
          <w:r w:rsidRPr="00646259">
            <w:rPr>
              <w:rFonts w:ascii="Arial" w:hAnsi="Arial"/>
              <w:sz w:val="22"/>
              <w:szCs w:val="22"/>
              <w:lang w:eastAsia="es-ES"/>
            </w:rPr>
            <w:fldChar w:fldCharType="end"/>
          </w:r>
        </w:p>
      </w:tc>
    </w:tr>
  </w:tbl>
  <w:p w:rsidR="005520F1" w:rsidRPr="00EF449F" w:rsidRDefault="005520F1" w:rsidP="00197955">
    <w:pPr>
      <w:pStyle w:val="Encabezado"/>
      <w:ind w:firstLine="0"/>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jc w:val="center"/>
      <w:tblBorders>
        <w:bottom w:val="single" w:sz="4" w:space="0" w:color="auto"/>
      </w:tblBorders>
      <w:tblLook w:val="04A0" w:firstRow="1" w:lastRow="0" w:firstColumn="1" w:lastColumn="0" w:noHBand="0" w:noVBand="1"/>
    </w:tblPr>
    <w:tblGrid>
      <w:gridCol w:w="2886"/>
      <w:gridCol w:w="2715"/>
      <w:gridCol w:w="3976"/>
    </w:tblGrid>
    <w:tr w:rsidR="005520F1" w:rsidRPr="00BD1916" w:rsidTr="0021297D">
      <w:trPr>
        <w:trHeight w:val="1023"/>
        <w:jc w:val="center"/>
      </w:trPr>
      <w:tc>
        <w:tcPr>
          <w:tcW w:w="2201" w:type="dxa"/>
          <w:vAlign w:val="center"/>
        </w:tcPr>
        <w:p w:rsidR="005520F1" w:rsidRPr="00BD1916" w:rsidRDefault="005520F1" w:rsidP="005A05B6">
          <w:pPr>
            <w:pStyle w:val="Textofigura"/>
            <w:rPr>
              <w:rFonts w:ascii="Arial Narrow" w:hAnsi="Arial Narrow" w:cs="Arial"/>
              <w:lang w:val="es-ES"/>
            </w:rPr>
          </w:pPr>
          <w:r>
            <w:rPr>
              <w:noProof/>
              <w:lang w:eastAsia="es-MX"/>
            </w:rPr>
            <w:drawing>
              <wp:inline distT="0" distB="0" distL="0" distR="0">
                <wp:extent cx="1685925" cy="695325"/>
                <wp:effectExtent l="0" t="0" r="9525" b="9525"/>
                <wp:docPr id="14" name="Imagen 14" descr="LogoS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a:ln>
                          <a:noFill/>
                        </a:ln>
                      </pic:spPr>
                    </pic:pic>
                  </a:graphicData>
                </a:graphic>
              </wp:inline>
            </w:drawing>
          </w:r>
        </w:p>
        <w:p w:rsidR="005520F1" w:rsidRPr="00BD1916" w:rsidRDefault="005520F1" w:rsidP="00756E55">
          <w:pPr>
            <w:pStyle w:val="Encabezado"/>
            <w:ind w:firstLine="0"/>
            <w:jc w:val="center"/>
            <w:rPr>
              <w:rFonts w:ascii="Arial Narrow" w:hAnsi="Arial Narrow" w:cs="Arial"/>
              <w:lang w:val="es-ES"/>
            </w:rPr>
          </w:pPr>
        </w:p>
      </w:tc>
      <w:tc>
        <w:tcPr>
          <w:tcW w:w="3389" w:type="dxa"/>
          <w:vAlign w:val="center"/>
        </w:tcPr>
        <w:p w:rsidR="005520F1" w:rsidRPr="00885C52" w:rsidRDefault="005520F1" w:rsidP="005A05B6">
          <w:pPr>
            <w:pStyle w:val="Textofigura"/>
            <w:rPr>
              <w:noProof/>
              <w:lang w:eastAsia="es-MX"/>
            </w:rPr>
          </w:pPr>
        </w:p>
      </w:tc>
      <w:tc>
        <w:tcPr>
          <w:tcW w:w="3987" w:type="dxa"/>
          <w:vAlign w:val="center"/>
        </w:tcPr>
        <w:p w:rsidR="005520F1" w:rsidRPr="00BD1916" w:rsidRDefault="005520F1" w:rsidP="005A05B6">
          <w:pPr>
            <w:pStyle w:val="Textofigura"/>
          </w:pPr>
          <w:r>
            <w:rPr>
              <w:noProof/>
              <w:lang w:eastAsia="es-MX"/>
            </w:rPr>
            <w:drawing>
              <wp:inline distT="0" distB="0" distL="0" distR="0">
                <wp:extent cx="2362200" cy="676275"/>
                <wp:effectExtent l="0" t="0" r="0" b="9525"/>
                <wp:docPr id="15" name="Imagen 15" descr="IMAGEN-PUERTO-VALL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PUERTO-VALLAR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676275"/>
                        </a:xfrm>
                        <a:prstGeom prst="rect">
                          <a:avLst/>
                        </a:prstGeom>
                        <a:noFill/>
                        <a:ln>
                          <a:noFill/>
                        </a:ln>
                      </pic:spPr>
                    </pic:pic>
                  </a:graphicData>
                </a:graphic>
              </wp:inline>
            </w:drawing>
          </w:r>
        </w:p>
        <w:p w:rsidR="005520F1" w:rsidRPr="00D6782C" w:rsidRDefault="005520F1" w:rsidP="00F90909">
          <w:pPr>
            <w:pStyle w:val="Encabezado"/>
            <w:jc w:val="center"/>
            <w:rPr>
              <w:rFonts w:ascii="Arial Narrow" w:hAnsi="Arial Narrow" w:cs="Arial"/>
              <w:noProof/>
              <w:color w:val="365F91"/>
              <w:sz w:val="16"/>
              <w:szCs w:val="16"/>
              <w:lang w:val="es-MX" w:eastAsia="es-MX"/>
            </w:rPr>
          </w:pPr>
        </w:p>
      </w:tc>
    </w:tr>
  </w:tbl>
  <w:p w:rsidR="005520F1" w:rsidRPr="00756E55" w:rsidRDefault="005520F1" w:rsidP="00756E55">
    <w:pPr>
      <w:pStyle w:val="Encabezado"/>
      <w:ind w:firstLine="0"/>
      <w:rPr>
        <w:rFonts w:ascii="Arial" w:hAnsi="Arial" w:cs="Arial"/>
        <w:sz w:val="16"/>
        <w:szCs w:val="16"/>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59"/>
    </w:tblGrid>
    <w:tr w:rsidR="005520F1" w:rsidRPr="0079448D" w:rsidTr="00197955">
      <w:trPr>
        <w:trHeight w:val="714"/>
      </w:trPr>
      <w:tc>
        <w:tcPr>
          <w:tcW w:w="754" w:type="dxa"/>
          <w:tcBorders>
            <w:top w:val="nil"/>
            <w:left w:val="nil"/>
          </w:tcBorders>
          <w:vAlign w:val="center"/>
        </w:tcPr>
        <w:p w:rsidR="005520F1" w:rsidRPr="00646259" w:rsidRDefault="005520F1" w:rsidP="00737DA5">
          <w:pPr>
            <w:pStyle w:val="Encabezado"/>
            <w:ind w:firstLine="0"/>
            <w:jc w:val="center"/>
            <w:rPr>
              <w:rFonts w:ascii="Arial" w:hAnsi="Arial"/>
              <w:sz w:val="22"/>
              <w:szCs w:val="22"/>
              <w:lang w:val="es-ES" w:eastAsia="es-ES"/>
            </w:rPr>
          </w:pPr>
          <w:r w:rsidRPr="00646259">
            <w:rPr>
              <w:rFonts w:ascii="Arial" w:hAnsi="Arial"/>
              <w:sz w:val="22"/>
              <w:szCs w:val="22"/>
              <w:lang w:eastAsia="es-ES"/>
            </w:rPr>
            <w:fldChar w:fldCharType="begin"/>
          </w:r>
          <w:r w:rsidRPr="00646259">
            <w:rPr>
              <w:rFonts w:ascii="Arial" w:hAnsi="Arial"/>
              <w:sz w:val="22"/>
              <w:szCs w:val="22"/>
              <w:lang w:eastAsia="es-ES"/>
            </w:rPr>
            <w:instrText xml:space="preserve"> PAGE   \* MERGEFORMAT </w:instrText>
          </w:r>
          <w:r w:rsidRPr="00646259">
            <w:rPr>
              <w:rFonts w:ascii="Arial" w:hAnsi="Arial"/>
              <w:sz w:val="22"/>
              <w:szCs w:val="22"/>
              <w:lang w:eastAsia="es-ES"/>
            </w:rPr>
            <w:fldChar w:fldCharType="separate"/>
          </w:r>
          <w:r w:rsidR="0079448D">
            <w:rPr>
              <w:rFonts w:ascii="Arial" w:hAnsi="Arial"/>
              <w:noProof/>
              <w:sz w:val="22"/>
              <w:szCs w:val="22"/>
              <w:lang w:eastAsia="es-ES"/>
            </w:rPr>
            <w:t>8</w:t>
          </w:r>
          <w:r w:rsidRPr="00646259">
            <w:rPr>
              <w:rFonts w:ascii="Arial" w:hAnsi="Arial"/>
              <w:sz w:val="22"/>
              <w:szCs w:val="22"/>
              <w:lang w:eastAsia="es-ES"/>
            </w:rPr>
            <w:fldChar w:fldCharType="end"/>
          </w:r>
        </w:p>
      </w:tc>
      <w:tc>
        <w:tcPr>
          <w:tcW w:w="8959" w:type="dxa"/>
          <w:tcBorders>
            <w:top w:val="nil"/>
            <w:right w:val="nil"/>
          </w:tcBorders>
          <w:vAlign w:val="center"/>
        </w:tcPr>
        <w:p w:rsidR="005520F1" w:rsidRPr="00646259" w:rsidRDefault="005520F1" w:rsidP="008C658B">
          <w:pPr>
            <w:pStyle w:val="Encabezadopar"/>
            <w:rPr>
              <w:rFonts w:ascii="Arial" w:hAnsi="Arial"/>
              <w:lang w:val="es-MX" w:eastAsia="es-ES"/>
            </w:rPr>
          </w:pPr>
          <w:r>
            <w:rPr>
              <w:rFonts w:ascii="Arial" w:hAnsi="Arial"/>
              <w:lang w:val="es-MX" w:eastAsia="es-ES"/>
            </w:rPr>
            <w:t>Un nuevo procedimiento para predecir los ciclos secundarios de histéresis de los suelos no saturados</w:t>
          </w:r>
        </w:p>
      </w:tc>
    </w:tr>
  </w:tbl>
  <w:p w:rsidR="005520F1" w:rsidRPr="00DF45A8" w:rsidRDefault="005520F1" w:rsidP="00536F18">
    <w:pPr>
      <w:pStyle w:val="Encabezado"/>
      <w:ind w:firstLine="0"/>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gridCol w:w="754"/>
    </w:tblGrid>
    <w:tr w:rsidR="005520F1" w:rsidRPr="00197955" w:rsidTr="002962DA">
      <w:trPr>
        <w:trHeight w:val="714"/>
      </w:trPr>
      <w:tc>
        <w:tcPr>
          <w:tcW w:w="8959" w:type="dxa"/>
          <w:tcBorders>
            <w:top w:val="nil"/>
            <w:left w:val="nil"/>
          </w:tcBorders>
          <w:vAlign w:val="center"/>
        </w:tcPr>
        <w:p w:rsidR="005520F1" w:rsidRPr="00A53838" w:rsidRDefault="005520F1" w:rsidP="00E93241">
          <w:pPr>
            <w:pStyle w:val="Encabezadoimpar"/>
            <w:rPr>
              <w:rFonts w:ascii="Arial" w:hAnsi="Arial"/>
              <w:lang w:val="es-MX" w:eastAsia="es-ES"/>
            </w:rPr>
          </w:pPr>
          <w:r>
            <w:rPr>
              <w:rFonts w:ascii="Arial" w:hAnsi="Arial"/>
              <w:lang w:eastAsia="es-ES"/>
            </w:rPr>
            <w:t>GALAVIZ R.</w:t>
          </w:r>
          <w:r w:rsidRPr="00A53838">
            <w:rPr>
              <w:rFonts w:ascii="Arial" w:hAnsi="Arial"/>
              <w:lang w:eastAsia="es-ES"/>
            </w:rPr>
            <w:t xml:space="preserve"> </w:t>
          </w:r>
          <w:r w:rsidRPr="00A53838">
            <w:rPr>
              <w:rFonts w:ascii="Arial" w:hAnsi="Arial"/>
              <w:i/>
              <w:lang w:eastAsia="es-ES"/>
            </w:rPr>
            <w:t>et al.</w:t>
          </w:r>
        </w:p>
      </w:tc>
      <w:tc>
        <w:tcPr>
          <w:tcW w:w="754" w:type="dxa"/>
          <w:tcBorders>
            <w:top w:val="nil"/>
            <w:right w:val="nil"/>
          </w:tcBorders>
          <w:vAlign w:val="center"/>
        </w:tcPr>
        <w:p w:rsidR="005520F1" w:rsidRPr="00A53838" w:rsidRDefault="005520F1" w:rsidP="00197955">
          <w:pPr>
            <w:pStyle w:val="Encabezado"/>
            <w:ind w:firstLine="0"/>
            <w:jc w:val="center"/>
            <w:rPr>
              <w:rFonts w:ascii="Arial" w:hAnsi="Arial"/>
              <w:sz w:val="22"/>
              <w:szCs w:val="22"/>
              <w:lang w:eastAsia="es-ES"/>
            </w:rPr>
          </w:pPr>
          <w:r w:rsidRPr="00A53838">
            <w:rPr>
              <w:rFonts w:ascii="Arial" w:hAnsi="Arial"/>
              <w:sz w:val="22"/>
              <w:szCs w:val="22"/>
              <w:lang w:eastAsia="es-ES"/>
            </w:rPr>
            <w:fldChar w:fldCharType="begin"/>
          </w:r>
          <w:r w:rsidRPr="00A53838">
            <w:rPr>
              <w:rFonts w:ascii="Arial" w:hAnsi="Arial"/>
              <w:sz w:val="22"/>
              <w:szCs w:val="22"/>
              <w:lang w:eastAsia="es-ES"/>
            </w:rPr>
            <w:instrText xml:space="preserve"> PAGE   \* MERGEFORMAT </w:instrText>
          </w:r>
          <w:r w:rsidRPr="00A53838">
            <w:rPr>
              <w:rFonts w:ascii="Arial" w:hAnsi="Arial"/>
              <w:sz w:val="22"/>
              <w:szCs w:val="22"/>
              <w:lang w:eastAsia="es-ES"/>
            </w:rPr>
            <w:fldChar w:fldCharType="separate"/>
          </w:r>
          <w:r w:rsidR="0079448D">
            <w:rPr>
              <w:rFonts w:ascii="Arial" w:hAnsi="Arial"/>
              <w:noProof/>
              <w:sz w:val="22"/>
              <w:szCs w:val="22"/>
              <w:lang w:eastAsia="es-ES"/>
            </w:rPr>
            <w:t>7</w:t>
          </w:r>
          <w:r w:rsidRPr="00A53838">
            <w:rPr>
              <w:rFonts w:ascii="Arial" w:hAnsi="Arial"/>
              <w:sz w:val="22"/>
              <w:szCs w:val="22"/>
              <w:lang w:eastAsia="es-ES"/>
            </w:rPr>
            <w:fldChar w:fldCharType="end"/>
          </w:r>
        </w:p>
      </w:tc>
    </w:tr>
  </w:tbl>
  <w:p w:rsidR="005520F1" w:rsidRPr="00EF449F" w:rsidRDefault="005520F1" w:rsidP="00197955">
    <w:pPr>
      <w:pStyle w:val="Encabezado"/>
      <w:ind w:firstLine="0"/>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jc w:val="center"/>
      <w:tblBorders>
        <w:bottom w:val="single" w:sz="4" w:space="0" w:color="auto"/>
      </w:tblBorders>
      <w:tblLook w:val="04A0" w:firstRow="1" w:lastRow="0" w:firstColumn="1" w:lastColumn="0" w:noHBand="0" w:noVBand="1"/>
    </w:tblPr>
    <w:tblGrid>
      <w:gridCol w:w="3766"/>
      <w:gridCol w:w="1701"/>
      <w:gridCol w:w="4110"/>
    </w:tblGrid>
    <w:tr w:rsidR="005520F1" w:rsidRPr="0079448D" w:rsidTr="00704983">
      <w:trPr>
        <w:trHeight w:val="1023"/>
        <w:jc w:val="center"/>
      </w:trPr>
      <w:tc>
        <w:tcPr>
          <w:tcW w:w="3766" w:type="dxa"/>
          <w:vAlign w:val="center"/>
        </w:tcPr>
        <w:p w:rsidR="005520F1" w:rsidRPr="00CC18EF" w:rsidRDefault="005520F1" w:rsidP="00704983">
          <w:pPr>
            <w:pStyle w:val="Encabezado"/>
            <w:ind w:firstLine="0"/>
            <w:jc w:val="center"/>
            <w:rPr>
              <w:rFonts w:ascii="Arial Narrow" w:hAnsi="Arial Narrow" w:cs="Italic"/>
              <w:lang w:val="es-ES" w:eastAsia="es-ES"/>
            </w:rPr>
          </w:pPr>
          <w:r w:rsidRPr="00CC18EF">
            <w:rPr>
              <w:rFonts w:ascii="Arial Narrow" w:hAnsi="Arial Narrow" w:cs="Italic"/>
              <w:lang w:val="es-ES" w:eastAsia="es-ES"/>
            </w:rPr>
            <w:t>XXVI Reunión Nacional de Mecánica de Suelos e Ingeniería Geotécnica</w:t>
          </w:r>
        </w:p>
      </w:tc>
      <w:tc>
        <w:tcPr>
          <w:tcW w:w="1701" w:type="dxa"/>
        </w:tcPr>
        <w:p w:rsidR="005520F1" w:rsidRPr="00646259" w:rsidRDefault="005520F1" w:rsidP="00704983">
          <w:pPr>
            <w:pStyle w:val="Encabezado"/>
            <w:jc w:val="center"/>
            <w:rPr>
              <w:rFonts w:ascii="Arial" w:hAnsi="Arial"/>
              <w:noProof/>
              <w:lang w:val="es-MX" w:eastAsia="es-MX"/>
            </w:rPr>
          </w:pPr>
          <w:r w:rsidRPr="00646259">
            <w:rPr>
              <w:rFonts w:ascii="Arial" w:hAnsi="Arial"/>
              <w:noProof/>
              <w:lang w:val="es-MX" w:eastAsia="es-MX"/>
            </w:rPr>
            <w:drawing>
              <wp:inline distT="0" distB="0" distL="0" distR="0">
                <wp:extent cx="542925" cy="6381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pic:spPr>
                    </pic:pic>
                  </a:graphicData>
                </a:graphic>
              </wp:inline>
            </w:drawing>
          </w:r>
        </w:p>
      </w:tc>
      <w:tc>
        <w:tcPr>
          <w:tcW w:w="4110" w:type="dxa"/>
          <w:vAlign w:val="center"/>
        </w:tcPr>
        <w:p w:rsidR="005520F1" w:rsidRPr="00646259" w:rsidRDefault="005520F1" w:rsidP="00397366">
          <w:pPr>
            <w:pStyle w:val="Encabezado"/>
            <w:ind w:firstLine="0"/>
            <w:jc w:val="right"/>
            <w:rPr>
              <w:rFonts w:ascii="Arial" w:hAnsi="Arial"/>
              <w:noProof/>
              <w:lang w:val="es-MX" w:eastAsia="es-MX"/>
            </w:rPr>
          </w:pPr>
          <w:r>
            <w:rPr>
              <w:rFonts w:ascii="Arial Narrow" w:hAnsi="Arial Narrow" w:cs="Italic"/>
              <w:lang w:val="es-ES" w:eastAsia="es-ES"/>
            </w:rPr>
            <w:t xml:space="preserve">Cancún, </w:t>
          </w:r>
          <w:proofErr w:type="spellStart"/>
          <w:r>
            <w:rPr>
              <w:rFonts w:ascii="Arial Narrow" w:hAnsi="Arial Narrow" w:cs="Italic"/>
              <w:lang w:val="es-ES" w:eastAsia="es-ES"/>
            </w:rPr>
            <w:t>Qr</w:t>
          </w:r>
          <w:proofErr w:type="spellEnd"/>
          <w:r>
            <w:rPr>
              <w:rFonts w:ascii="Arial Narrow" w:hAnsi="Arial Narrow" w:cs="Italic"/>
              <w:lang w:val="es-ES" w:eastAsia="es-ES"/>
            </w:rPr>
            <w:t xml:space="preserve">., </w:t>
          </w:r>
          <w:r w:rsidRPr="00EF449F">
            <w:rPr>
              <w:rFonts w:ascii="Arial Narrow" w:hAnsi="Arial Narrow" w:cs="Italic"/>
              <w:lang w:val="es-ES" w:eastAsia="es-ES"/>
            </w:rPr>
            <w:t>1</w:t>
          </w:r>
          <w:r>
            <w:rPr>
              <w:rFonts w:ascii="Arial Narrow" w:hAnsi="Arial Narrow" w:cs="Italic"/>
              <w:lang w:val="es-ES" w:eastAsia="es-ES"/>
            </w:rPr>
            <w:t xml:space="preserve">4 a 16 </w:t>
          </w:r>
          <w:r w:rsidRPr="00EF449F">
            <w:rPr>
              <w:rFonts w:ascii="Arial Narrow" w:hAnsi="Arial Narrow" w:cs="Italic"/>
              <w:lang w:val="es-ES" w:eastAsia="es-ES"/>
            </w:rPr>
            <w:t xml:space="preserve">de </w:t>
          </w:r>
          <w:r>
            <w:rPr>
              <w:rFonts w:ascii="Arial Narrow" w:hAnsi="Arial Narrow" w:cs="Italic"/>
              <w:lang w:val="es-ES" w:eastAsia="es-ES"/>
            </w:rPr>
            <w:t xml:space="preserve">noviembre </w:t>
          </w:r>
          <w:r w:rsidRPr="00EF449F">
            <w:rPr>
              <w:rFonts w:ascii="Arial Narrow" w:hAnsi="Arial Narrow" w:cs="Italic"/>
              <w:lang w:val="es-ES" w:eastAsia="es-ES"/>
            </w:rPr>
            <w:t>de 201</w:t>
          </w:r>
          <w:r>
            <w:rPr>
              <w:rFonts w:ascii="Arial Narrow" w:hAnsi="Arial Narrow" w:cs="Italic"/>
              <w:lang w:val="es-ES" w:eastAsia="es-ES"/>
            </w:rPr>
            <w:t>2</w:t>
          </w:r>
        </w:p>
      </w:tc>
    </w:tr>
  </w:tbl>
  <w:p w:rsidR="005520F1" w:rsidRPr="00755468" w:rsidRDefault="005520F1">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DE04352"/>
    <w:lvl w:ilvl="0">
      <w:start w:val="1"/>
      <w:numFmt w:val="decimal"/>
      <w:pStyle w:val="Ttulo1"/>
      <w:lvlText w:val="%1"/>
      <w:legacy w:legacy="1" w:legacySpace="153" w:legacyIndent="0"/>
      <w:lvlJc w:val="left"/>
      <w:rPr>
        <w:rFonts w:ascii="Arial" w:hAnsi="Arial" w:cs="Arial" w:hint="default"/>
        <w:b w:val="0"/>
        <w:i w:val="0"/>
        <w:sz w:val="20"/>
        <w:szCs w:val="20"/>
      </w:rPr>
    </w:lvl>
    <w:lvl w:ilvl="1">
      <w:start w:val="1"/>
      <w:numFmt w:val="decimal"/>
      <w:pStyle w:val="Ttulo2"/>
      <w:lvlText w:val="%1.%2"/>
      <w:legacy w:legacy="1" w:legacySpace="153" w:legacyIndent="0"/>
      <w:lvlJc w:val="left"/>
      <w:pPr>
        <w:ind w:left="1277" w:firstLine="0"/>
      </w:pPr>
      <w:rPr>
        <w:rFonts w:ascii="Arial" w:hAnsi="Arial" w:cs="Arial" w:hint="default"/>
        <w:b w:val="0"/>
        <w:i w:val="0"/>
        <w:sz w:val="20"/>
        <w:szCs w:val="20"/>
      </w:rPr>
    </w:lvl>
    <w:lvl w:ilvl="2">
      <w:start w:val="1"/>
      <w:numFmt w:val="decimal"/>
      <w:pStyle w:val="Ttulo3"/>
      <w:lvlText w:val="%1.%2.%3"/>
      <w:legacy w:legacy="1" w:legacySpace="153" w:legacyIndent="0"/>
      <w:lvlJc w:val="left"/>
      <w:pPr>
        <w:ind w:left="0" w:firstLine="0"/>
      </w:pPr>
      <w:rPr>
        <w:rFonts w:ascii="Arial" w:hAnsi="Arial" w:cs="Arial" w:hint="default"/>
        <w:b w:val="0"/>
        <w:i w:val="0"/>
        <w:sz w:val="20"/>
        <w:szCs w:val="20"/>
      </w:rPr>
    </w:lvl>
    <w:lvl w:ilvl="3">
      <w:start w:val="1"/>
      <w:numFmt w:val="decimal"/>
      <w:pStyle w:val="Ttulo4"/>
      <w:lvlText w:val="%1.%2.%3.%4"/>
      <w:legacy w:legacy="1" w:legacySpace="153" w:legacyIndent="0"/>
      <w:lvlJc w:val="left"/>
      <w:pPr>
        <w:ind w:left="0" w:firstLine="0"/>
      </w:pPr>
      <w:rPr>
        <w:rFonts w:ascii="Times New Roman" w:hAnsi="Times New Roman" w:cs="Times New Roman" w:hint="default"/>
        <w:b w:val="0"/>
        <w:i w:val="0"/>
        <w:sz w:val="18"/>
      </w:rPr>
    </w:lvl>
    <w:lvl w:ilvl="4">
      <w:start w:val="1"/>
      <w:numFmt w:val="decimal"/>
      <w:pStyle w:val="Ttulo5"/>
      <w:lvlText w:val="(%5)"/>
      <w:legacy w:legacy="1" w:legacySpace="0" w:legacyIndent="708"/>
      <w:lvlJc w:val="left"/>
      <w:pPr>
        <w:ind w:left="708" w:hanging="708"/>
      </w:pPr>
    </w:lvl>
    <w:lvl w:ilvl="5">
      <w:start w:val="1"/>
      <w:numFmt w:val="lowerLetter"/>
      <w:pStyle w:val="Ttulo6"/>
      <w:lvlText w:val="(%6)"/>
      <w:legacy w:legacy="1" w:legacySpace="0" w:legacyIndent="708"/>
      <w:lvlJc w:val="left"/>
      <w:pPr>
        <w:ind w:left="1416" w:hanging="708"/>
      </w:pPr>
    </w:lvl>
    <w:lvl w:ilvl="6">
      <w:start w:val="1"/>
      <w:numFmt w:val="lowerRoman"/>
      <w:pStyle w:val="Ttulo7"/>
      <w:lvlText w:val="(%7)"/>
      <w:legacy w:legacy="1" w:legacySpace="0" w:legacyIndent="708"/>
      <w:lvlJc w:val="left"/>
      <w:pPr>
        <w:ind w:left="2124" w:hanging="708"/>
      </w:pPr>
    </w:lvl>
    <w:lvl w:ilvl="7">
      <w:start w:val="1"/>
      <w:numFmt w:val="lowerLetter"/>
      <w:pStyle w:val="Ttulo8"/>
      <w:lvlText w:val="(%8)"/>
      <w:legacy w:legacy="1" w:legacySpace="0" w:legacyIndent="708"/>
      <w:lvlJc w:val="left"/>
      <w:pPr>
        <w:ind w:left="2832" w:hanging="708"/>
      </w:pPr>
    </w:lvl>
    <w:lvl w:ilvl="8">
      <w:start w:val="1"/>
      <w:numFmt w:val="lowerRoman"/>
      <w:pStyle w:val="Ttulo9"/>
      <w:lvlText w:val="(%9)"/>
      <w:legacy w:legacy="1" w:legacySpace="0" w:legacyIndent="708"/>
      <w:lvlJc w:val="left"/>
      <w:pPr>
        <w:ind w:left="3540" w:hanging="708"/>
      </w:pPr>
    </w:lvl>
  </w:abstractNum>
  <w:abstractNum w:abstractNumId="1">
    <w:nsid w:val="FFFFFFFE"/>
    <w:multiLevelType w:val="singleLevel"/>
    <w:tmpl w:val="05501D84"/>
    <w:lvl w:ilvl="0">
      <w:numFmt w:val="bullet"/>
      <w:lvlText w:val="*"/>
      <w:lvlJc w:val="left"/>
    </w:lvl>
  </w:abstractNum>
  <w:abstractNum w:abstractNumId="2">
    <w:nsid w:val="244F132C"/>
    <w:multiLevelType w:val="hybridMultilevel"/>
    <w:tmpl w:val="0F3E27E8"/>
    <w:lvl w:ilvl="0" w:tplc="D6C6FD90">
      <w:start w:val="1"/>
      <w:numFmt w:val="decimal"/>
      <w:lvlText w:val="%1"/>
      <w:lvlJc w:val="left"/>
      <w:pPr>
        <w:ind w:left="720" w:hanging="360"/>
      </w:pPr>
      <w:rPr>
        <w:rFonts w:hint="default"/>
        <w: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2C12839"/>
    <w:multiLevelType w:val="hybridMultilevel"/>
    <w:tmpl w:val="B85C40AA"/>
    <w:lvl w:ilvl="0" w:tplc="AAEEF350">
      <w:start w:val="1"/>
      <w:numFmt w:val="decimal"/>
      <w:pStyle w:val="EstiloAUTHORSSuperndice"/>
      <w:lvlText w:val="%1"/>
      <w:lvlJc w:val="left"/>
      <w:pPr>
        <w:ind w:left="720" w:hanging="360"/>
      </w:pPr>
      <w:rPr>
        <w:rFonts w:hint="default"/>
        <w: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585340"/>
    <w:multiLevelType w:val="multilevel"/>
    <w:tmpl w:val="08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AE"/>
    <w:rsid w:val="00003E0B"/>
    <w:rsid w:val="00007FB4"/>
    <w:rsid w:val="000131BC"/>
    <w:rsid w:val="00013AC3"/>
    <w:rsid w:val="00013DC1"/>
    <w:rsid w:val="00015D0D"/>
    <w:rsid w:val="00016636"/>
    <w:rsid w:val="00016DB4"/>
    <w:rsid w:val="000218C5"/>
    <w:rsid w:val="0002285F"/>
    <w:rsid w:val="000244B5"/>
    <w:rsid w:val="00025110"/>
    <w:rsid w:val="00025E1F"/>
    <w:rsid w:val="00034141"/>
    <w:rsid w:val="0004050C"/>
    <w:rsid w:val="00040B3B"/>
    <w:rsid w:val="0004234E"/>
    <w:rsid w:val="00042B9E"/>
    <w:rsid w:val="000431A3"/>
    <w:rsid w:val="00044C4E"/>
    <w:rsid w:val="000467C4"/>
    <w:rsid w:val="0005224B"/>
    <w:rsid w:val="00056C5B"/>
    <w:rsid w:val="0006062D"/>
    <w:rsid w:val="000608F4"/>
    <w:rsid w:val="00060E89"/>
    <w:rsid w:val="000645A2"/>
    <w:rsid w:val="00065E51"/>
    <w:rsid w:val="00072BDB"/>
    <w:rsid w:val="0007369F"/>
    <w:rsid w:val="00074F20"/>
    <w:rsid w:val="0008168E"/>
    <w:rsid w:val="00083ADE"/>
    <w:rsid w:val="00083DBD"/>
    <w:rsid w:val="000907D7"/>
    <w:rsid w:val="000A2A5B"/>
    <w:rsid w:val="000A7262"/>
    <w:rsid w:val="000A77E7"/>
    <w:rsid w:val="000B00CA"/>
    <w:rsid w:val="000B4395"/>
    <w:rsid w:val="000B63B1"/>
    <w:rsid w:val="000C28F6"/>
    <w:rsid w:val="000C2EB1"/>
    <w:rsid w:val="000C6C73"/>
    <w:rsid w:val="000C728C"/>
    <w:rsid w:val="000D0B57"/>
    <w:rsid w:val="000D7AA6"/>
    <w:rsid w:val="000D7CB3"/>
    <w:rsid w:val="000E0F6D"/>
    <w:rsid w:val="000E573D"/>
    <w:rsid w:val="000F2667"/>
    <w:rsid w:val="000F4097"/>
    <w:rsid w:val="001104CD"/>
    <w:rsid w:val="00114148"/>
    <w:rsid w:val="001171FF"/>
    <w:rsid w:val="001210C6"/>
    <w:rsid w:val="00124A0C"/>
    <w:rsid w:val="001307F2"/>
    <w:rsid w:val="00131DE9"/>
    <w:rsid w:val="00133719"/>
    <w:rsid w:val="00133DEB"/>
    <w:rsid w:val="00134BCA"/>
    <w:rsid w:val="0013749B"/>
    <w:rsid w:val="00145208"/>
    <w:rsid w:val="001456EB"/>
    <w:rsid w:val="00152CA5"/>
    <w:rsid w:val="00153BF6"/>
    <w:rsid w:val="00170508"/>
    <w:rsid w:val="00170658"/>
    <w:rsid w:val="00170D51"/>
    <w:rsid w:val="001711E4"/>
    <w:rsid w:val="0017265F"/>
    <w:rsid w:val="001731BB"/>
    <w:rsid w:val="00173524"/>
    <w:rsid w:val="00175AF5"/>
    <w:rsid w:val="00176FD7"/>
    <w:rsid w:val="00181370"/>
    <w:rsid w:val="00186EC8"/>
    <w:rsid w:val="001900FA"/>
    <w:rsid w:val="00195D03"/>
    <w:rsid w:val="00197955"/>
    <w:rsid w:val="001A07A7"/>
    <w:rsid w:val="001A11DB"/>
    <w:rsid w:val="001A35D6"/>
    <w:rsid w:val="001B5BA3"/>
    <w:rsid w:val="001C19D2"/>
    <w:rsid w:val="001C45F7"/>
    <w:rsid w:val="001C7428"/>
    <w:rsid w:val="001D4D87"/>
    <w:rsid w:val="001E0A18"/>
    <w:rsid w:val="001E28C0"/>
    <w:rsid w:val="001E5E7B"/>
    <w:rsid w:val="001F027F"/>
    <w:rsid w:val="001F05D0"/>
    <w:rsid w:val="001F0666"/>
    <w:rsid w:val="001F1C4A"/>
    <w:rsid w:val="001F24C6"/>
    <w:rsid w:val="001F345B"/>
    <w:rsid w:val="0020088D"/>
    <w:rsid w:val="002022BC"/>
    <w:rsid w:val="00204BF6"/>
    <w:rsid w:val="0021242B"/>
    <w:rsid w:val="0021297D"/>
    <w:rsid w:val="00213AFA"/>
    <w:rsid w:val="00213C6C"/>
    <w:rsid w:val="002174A3"/>
    <w:rsid w:val="002201D3"/>
    <w:rsid w:val="00220805"/>
    <w:rsid w:val="00230922"/>
    <w:rsid w:val="002318DC"/>
    <w:rsid w:val="0023331C"/>
    <w:rsid w:val="002337B2"/>
    <w:rsid w:val="00241A52"/>
    <w:rsid w:val="0024377D"/>
    <w:rsid w:val="00244E8D"/>
    <w:rsid w:val="002520C7"/>
    <w:rsid w:val="0025726B"/>
    <w:rsid w:val="00264CE6"/>
    <w:rsid w:val="0026575B"/>
    <w:rsid w:val="00266F69"/>
    <w:rsid w:val="00271113"/>
    <w:rsid w:val="00282067"/>
    <w:rsid w:val="002860E0"/>
    <w:rsid w:val="0028676C"/>
    <w:rsid w:val="002962DA"/>
    <w:rsid w:val="002A0859"/>
    <w:rsid w:val="002A49D0"/>
    <w:rsid w:val="002A5E85"/>
    <w:rsid w:val="002A7811"/>
    <w:rsid w:val="002B0269"/>
    <w:rsid w:val="002B17AC"/>
    <w:rsid w:val="002B5BD4"/>
    <w:rsid w:val="002B7E1C"/>
    <w:rsid w:val="002C1B11"/>
    <w:rsid w:val="002C2F91"/>
    <w:rsid w:val="002C523C"/>
    <w:rsid w:val="002D1545"/>
    <w:rsid w:val="002D314E"/>
    <w:rsid w:val="002D4920"/>
    <w:rsid w:val="002E46C1"/>
    <w:rsid w:val="002F0F8E"/>
    <w:rsid w:val="002F218A"/>
    <w:rsid w:val="002F21B0"/>
    <w:rsid w:val="002F448A"/>
    <w:rsid w:val="00303CEC"/>
    <w:rsid w:val="00304DD1"/>
    <w:rsid w:val="00306A52"/>
    <w:rsid w:val="00313E99"/>
    <w:rsid w:val="00317B20"/>
    <w:rsid w:val="00323573"/>
    <w:rsid w:val="0032664F"/>
    <w:rsid w:val="00330B78"/>
    <w:rsid w:val="003369E0"/>
    <w:rsid w:val="00344A9E"/>
    <w:rsid w:val="003456DA"/>
    <w:rsid w:val="0034607E"/>
    <w:rsid w:val="0035430C"/>
    <w:rsid w:val="0035692E"/>
    <w:rsid w:val="0037016D"/>
    <w:rsid w:val="0037099B"/>
    <w:rsid w:val="00370A2F"/>
    <w:rsid w:val="003727B4"/>
    <w:rsid w:val="00374AE1"/>
    <w:rsid w:val="00383B25"/>
    <w:rsid w:val="00384852"/>
    <w:rsid w:val="00385521"/>
    <w:rsid w:val="00386F61"/>
    <w:rsid w:val="00390B4D"/>
    <w:rsid w:val="00392ED0"/>
    <w:rsid w:val="00397366"/>
    <w:rsid w:val="003A13AB"/>
    <w:rsid w:val="003A158B"/>
    <w:rsid w:val="003B0354"/>
    <w:rsid w:val="003B75A5"/>
    <w:rsid w:val="003C0A91"/>
    <w:rsid w:val="003C13C2"/>
    <w:rsid w:val="003C1710"/>
    <w:rsid w:val="003C353B"/>
    <w:rsid w:val="003C573F"/>
    <w:rsid w:val="003C6360"/>
    <w:rsid w:val="003C6B5E"/>
    <w:rsid w:val="003D4444"/>
    <w:rsid w:val="003E069E"/>
    <w:rsid w:val="003E1978"/>
    <w:rsid w:val="003F06C3"/>
    <w:rsid w:val="00401F41"/>
    <w:rsid w:val="00402BC9"/>
    <w:rsid w:val="00404690"/>
    <w:rsid w:val="004061BE"/>
    <w:rsid w:val="00406AF5"/>
    <w:rsid w:val="00410010"/>
    <w:rsid w:val="0041534A"/>
    <w:rsid w:val="004153CE"/>
    <w:rsid w:val="0041603F"/>
    <w:rsid w:val="00417A2C"/>
    <w:rsid w:val="004213E5"/>
    <w:rsid w:val="004227E2"/>
    <w:rsid w:val="004231D1"/>
    <w:rsid w:val="0043003A"/>
    <w:rsid w:val="00442FEC"/>
    <w:rsid w:val="00445DB0"/>
    <w:rsid w:val="00450A5C"/>
    <w:rsid w:val="00453188"/>
    <w:rsid w:val="00463937"/>
    <w:rsid w:val="00463F04"/>
    <w:rsid w:val="00464221"/>
    <w:rsid w:val="00465E1B"/>
    <w:rsid w:val="00466B67"/>
    <w:rsid w:val="00473A8C"/>
    <w:rsid w:val="004756DF"/>
    <w:rsid w:val="004762CA"/>
    <w:rsid w:val="004771DB"/>
    <w:rsid w:val="00480504"/>
    <w:rsid w:val="004858E7"/>
    <w:rsid w:val="00493371"/>
    <w:rsid w:val="004A2A67"/>
    <w:rsid w:val="004A6DAB"/>
    <w:rsid w:val="004B0250"/>
    <w:rsid w:val="004B537C"/>
    <w:rsid w:val="004B73C5"/>
    <w:rsid w:val="004B7594"/>
    <w:rsid w:val="004C1C95"/>
    <w:rsid w:val="004C2AA0"/>
    <w:rsid w:val="004C54E2"/>
    <w:rsid w:val="004C6E3A"/>
    <w:rsid w:val="004D03C7"/>
    <w:rsid w:val="004D0B4E"/>
    <w:rsid w:val="004D20D8"/>
    <w:rsid w:val="004D5174"/>
    <w:rsid w:val="004D5341"/>
    <w:rsid w:val="004D5C24"/>
    <w:rsid w:val="004E0CA5"/>
    <w:rsid w:val="004E1837"/>
    <w:rsid w:val="004E5026"/>
    <w:rsid w:val="004E60B8"/>
    <w:rsid w:val="004E7F99"/>
    <w:rsid w:val="004F0EF0"/>
    <w:rsid w:val="004F1581"/>
    <w:rsid w:val="004F312D"/>
    <w:rsid w:val="004F31A1"/>
    <w:rsid w:val="004F3A92"/>
    <w:rsid w:val="004F77AE"/>
    <w:rsid w:val="004F7B01"/>
    <w:rsid w:val="005006BC"/>
    <w:rsid w:val="00500AF3"/>
    <w:rsid w:val="005053FD"/>
    <w:rsid w:val="00506E25"/>
    <w:rsid w:val="005071C5"/>
    <w:rsid w:val="00514045"/>
    <w:rsid w:val="00514391"/>
    <w:rsid w:val="00514D3E"/>
    <w:rsid w:val="0051725F"/>
    <w:rsid w:val="00521A74"/>
    <w:rsid w:val="005224C5"/>
    <w:rsid w:val="00524D64"/>
    <w:rsid w:val="00526CD5"/>
    <w:rsid w:val="0052777F"/>
    <w:rsid w:val="0053277D"/>
    <w:rsid w:val="0053610C"/>
    <w:rsid w:val="00536F18"/>
    <w:rsid w:val="0053719E"/>
    <w:rsid w:val="0054169B"/>
    <w:rsid w:val="005419B3"/>
    <w:rsid w:val="00544252"/>
    <w:rsid w:val="00545BA8"/>
    <w:rsid w:val="005520F1"/>
    <w:rsid w:val="0055254E"/>
    <w:rsid w:val="00553BC6"/>
    <w:rsid w:val="00554D31"/>
    <w:rsid w:val="0055724E"/>
    <w:rsid w:val="00564D24"/>
    <w:rsid w:val="00572B37"/>
    <w:rsid w:val="005739B2"/>
    <w:rsid w:val="00575739"/>
    <w:rsid w:val="00577839"/>
    <w:rsid w:val="00580F47"/>
    <w:rsid w:val="00591DB0"/>
    <w:rsid w:val="00592E4D"/>
    <w:rsid w:val="005933E4"/>
    <w:rsid w:val="00594C75"/>
    <w:rsid w:val="0059533B"/>
    <w:rsid w:val="00595BBE"/>
    <w:rsid w:val="005A05B6"/>
    <w:rsid w:val="005A5B30"/>
    <w:rsid w:val="005A789B"/>
    <w:rsid w:val="005B14CD"/>
    <w:rsid w:val="005B2716"/>
    <w:rsid w:val="005B6C3B"/>
    <w:rsid w:val="005B731C"/>
    <w:rsid w:val="005B76FC"/>
    <w:rsid w:val="005C0E2D"/>
    <w:rsid w:val="005C2A87"/>
    <w:rsid w:val="005D0151"/>
    <w:rsid w:val="005D48D0"/>
    <w:rsid w:val="005D5FDE"/>
    <w:rsid w:val="005E01E2"/>
    <w:rsid w:val="005E115F"/>
    <w:rsid w:val="005E4234"/>
    <w:rsid w:val="005E5517"/>
    <w:rsid w:val="005F0224"/>
    <w:rsid w:val="005F191E"/>
    <w:rsid w:val="006060F7"/>
    <w:rsid w:val="0061138F"/>
    <w:rsid w:val="00611835"/>
    <w:rsid w:val="00611C24"/>
    <w:rsid w:val="00613754"/>
    <w:rsid w:val="0062598D"/>
    <w:rsid w:val="006260BC"/>
    <w:rsid w:val="00627B0C"/>
    <w:rsid w:val="006328E0"/>
    <w:rsid w:val="00634E71"/>
    <w:rsid w:val="00634E9C"/>
    <w:rsid w:val="00635E77"/>
    <w:rsid w:val="00636BB8"/>
    <w:rsid w:val="00641798"/>
    <w:rsid w:val="006428AA"/>
    <w:rsid w:val="00645B4C"/>
    <w:rsid w:val="00646259"/>
    <w:rsid w:val="006476FB"/>
    <w:rsid w:val="00647E39"/>
    <w:rsid w:val="00655D7F"/>
    <w:rsid w:val="00656E88"/>
    <w:rsid w:val="006705D3"/>
    <w:rsid w:val="00672061"/>
    <w:rsid w:val="00674855"/>
    <w:rsid w:val="00674AC3"/>
    <w:rsid w:val="00674D93"/>
    <w:rsid w:val="00676E19"/>
    <w:rsid w:val="00677CAC"/>
    <w:rsid w:val="0068433B"/>
    <w:rsid w:val="006844A3"/>
    <w:rsid w:val="006904AC"/>
    <w:rsid w:val="006972C5"/>
    <w:rsid w:val="006A020B"/>
    <w:rsid w:val="006A314D"/>
    <w:rsid w:val="006A4E13"/>
    <w:rsid w:val="006B46FC"/>
    <w:rsid w:val="006B47C1"/>
    <w:rsid w:val="006B6F00"/>
    <w:rsid w:val="006C43D6"/>
    <w:rsid w:val="006C5DED"/>
    <w:rsid w:val="006D4EA7"/>
    <w:rsid w:val="006E384E"/>
    <w:rsid w:val="006E3E15"/>
    <w:rsid w:val="006E74C1"/>
    <w:rsid w:val="006E7CF2"/>
    <w:rsid w:val="006F200F"/>
    <w:rsid w:val="006F3420"/>
    <w:rsid w:val="007024CA"/>
    <w:rsid w:val="00703657"/>
    <w:rsid w:val="0070450D"/>
    <w:rsid w:val="00704983"/>
    <w:rsid w:val="00704C71"/>
    <w:rsid w:val="0070624B"/>
    <w:rsid w:val="0071081B"/>
    <w:rsid w:val="00713C8C"/>
    <w:rsid w:val="0071443F"/>
    <w:rsid w:val="007148E6"/>
    <w:rsid w:val="00715BE0"/>
    <w:rsid w:val="00721173"/>
    <w:rsid w:val="0072749D"/>
    <w:rsid w:val="0073113F"/>
    <w:rsid w:val="00732243"/>
    <w:rsid w:val="00733EE8"/>
    <w:rsid w:val="007355A8"/>
    <w:rsid w:val="007356E9"/>
    <w:rsid w:val="00736C37"/>
    <w:rsid w:val="00737DA5"/>
    <w:rsid w:val="00741DA8"/>
    <w:rsid w:val="00743DD3"/>
    <w:rsid w:val="00744A7E"/>
    <w:rsid w:val="007463E7"/>
    <w:rsid w:val="007471E7"/>
    <w:rsid w:val="007477F1"/>
    <w:rsid w:val="00750A56"/>
    <w:rsid w:val="007545C0"/>
    <w:rsid w:val="00755468"/>
    <w:rsid w:val="00756E55"/>
    <w:rsid w:val="00760109"/>
    <w:rsid w:val="0077163D"/>
    <w:rsid w:val="00771786"/>
    <w:rsid w:val="00772FB7"/>
    <w:rsid w:val="0077300D"/>
    <w:rsid w:val="00773812"/>
    <w:rsid w:val="00783C9C"/>
    <w:rsid w:val="00785C0B"/>
    <w:rsid w:val="007871A3"/>
    <w:rsid w:val="0079040C"/>
    <w:rsid w:val="0079448D"/>
    <w:rsid w:val="00796380"/>
    <w:rsid w:val="007A0529"/>
    <w:rsid w:val="007A0FAD"/>
    <w:rsid w:val="007A25DB"/>
    <w:rsid w:val="007A2C73"/>
    <w:rsid w:val="007A4971"/>
    <w:rsid w:val="007A56C3"/>
    <w:rsid w:val="007B40BD"/>
    <w:rsid w:val="007C4680"/>
    <w:rsid w:val="007C4EE1"/>
    <w:rsid w:val="007C61BE"/>
    <w:rsid w:val="007C676C"/>
    <w:rsid w:val="007D08E3"/>
    <w:rsid w:val="007D1E3A"/>
    <w:rsid w:val="007D2971"/>
    <w:rsid w:val="007D7878"/>
    <w:rsid w:val="007E3C92"/>
    <w:rsid w:val="007E3CC7"/>
    <w:rsid w:val="007F0549"/>
    <w:rsid w:val="007F2686"/>
    <w:rsid w:val="007F50E2"/>
    <w:rsid w:val="007F541E"/>
    <w:rsid w:val="007F6A97"/>
    <w:rsid w:val="0080000E"/>
    <w:rsid w:val="008029C4"/>
    <w:rsid w:val="00802CA1"/>
    <w:rsid w:val="008041FA"/>
    <w:rsid w:val="00804BD3"/>
    <w:rsid w:val="00811D12"/>
    <w:rsid w:val="00812077"/>
    <w:rsid w:val="00813DF4"/>
    <w:rsid w:val="00817BA6"/>
    <w:rsid w:val="00822E72"/>
    <w:rsid w:val="00823F3A"/>
    <w:rsid w:val="008259DA"/>
    <w:rsid w:val="00825C80"/>
    <w:rsid w:val="00826AB4"/>
    <w:rsid w:val="008307C7"/>
    <w:rsid w:val="00837613"/>
    <w:rsid w:val="008379C2"/>
    <w:rsid w:val="00843D2B"/>
    <w:rsid w:val="00843EE3"/>
    <w:rsid w:val="00845D06"/>
    <w:rsid w:val="00845FAB"/>
    <w:rsid w:val="00852762"/>
    <w:rsid w:val="008532FD"/>
    <w:rsid w:val="00855167"/>
    <w:rsid w:val="008558A2"/>
    <w:rsid w:val="008559EF"/>
    <w:rsid w:val="00855C56"/>
    <w:rsid w:val="00860636"/>
    <w:rsid w:val="00861B7E"/>
    <w:rsid w:val="00862514"/>
    <w:rsid w:val="008637D4"/>
    <w:rsid w:val="008647FC"/>
    <w:rsid w:val="00867F90"/>
    <w:rsid w:val="00875BA4"/>
    <w:rsid w:val="00876077"/>
    <w:rsid w:val="008805FF"/>
    <w:rsid w:val="00880AEC"/>
    <w:rsid w:val="00883DAB"/>
    <w:rsid w:val="0089147C"/>
    <w:rsid w:val="008923B7"/>
    <w:rsid w:val="008970C9"/>
    <w:rsid w:val="008A354F"/>
    <w:rsid w:val="008A3E3D"/>
    <w:rsid w:val="008A49FE"/>
    <w:rsid w:val="008A62E8"/>
    <w:rsid w:val="008B6E28"/>
    <w:rsid w:val="008B7F0C"/>
    <w:rsid w:val="008C1C61"/>
    <w:rsid w:val="008C658B"/>
    <w:rsid w:val="008D0CA6"/>
    <w:rsid w:val="008D3F91"/>
    <w:rsid w:val="008D5546"/>
    <w:rsid w:val="008E16EA"/>
    <w:rsid w:val="008E48F3"/>
    <w:rsid w:val="008E55CC"/>
    <w:rsid w:val="008E69E2"/>
    <w:rsid w:val="008F7EA8"/>
    <w:rsid w:val="00902218"/>
    <w:rsid w:val="009045F0"/>
    <w:rsid w:val="00907166"/>
    <w:rsid w:val="00907445"/>
    <w:rsid w:val="00907598"/>
    <w:rsid w:val="009105F0"/>
    <w:rsid w:val="0091074B"/>
    <w:rsid w:val="0091310C"/>
    <w:rsid w:val="0092198F"/>
    <w:rsid w:val="00925EE4"/>
    <w:rsid w:val="009278DA"/>
    <w:rsid w:val="00927B93"/>
    <w:rsid w:val="009336B4"/>
    <w:rsid w:val="009343FD"/>
    <w:rsid w:val="00935834"/>
    <w:rsid w:val="00942448"/>
    <w:rsid w:val="0094248F"/>
    <w:rsid w:val="009444F6"/>
    <w:rsid w:val="0094475C"/>
    <w:rsid w:val="0094757D"/>
    <w:rsid w:val="0094769A"/>
    <w:rsid w:val="00952ACA"/>
    <w:rsid w:val="00956D27"/>
    <w:rsid w:val="00960400"/>
    <w:rsid w:val="009628C7"/>
    <w:rsid w:val="00963B48"/>
    <w:rsid w:val="009644F8"/>
    <w:rsid w:val="00982CB0"/>
    <w:rsid w:val="00983294"/>
    <w:rsid w:val="00983B20"/>
    <w:rsid w:val="0098507A"/>
    <w:rsid w:val="00992CC1"/>
    <w:rsid w:val="009A00F3"/>
    <w:rsid w:val="009A67DD"/>
    <w:rsid w:val="009A6925"/>
    <w:rsid w:val="009A7244"/>
    <w:rsid w:val="009B0A2A"/>
    <w:rsid w:val="009B3EF5"/>
    <w:rsid w:val="009B6333"/>
    <w:rsid w:val="009B7AE5"/>
    <w:rsid w:val="009C0755"/>
    <w:rsid w:val="009C4A82"/>
    <w:rsid w:val="009C548C"/>
    <w:rsid w:val="009C7D39"/>
    <w:rsid w:val="009E017A"/>
    <w:rsid w:val="009E1985"/>
    <w:rsid w:val="009E74AE"/>
    <w:rsid w:val="009E7805"/>
    <w:rsid w:val="009F6639"/>
    <w:rsid w:val="00A00C86"/>
    <w:rsid w:val="00A0230C"/>
    <w:rsid w:val="00A0739B"/>
    <w:rsid w:val="00A07710"/>
    <w:rsid w:val="00A1100C"/>
    <w:rsid w:val="00A131C8"/>
    <w:rsid w:val="00A13626"/>
    <w:rsid w:val="00A16ABC"/>
    <w:rsid w:val="00A17740"/>
    <w:rsid w:val="00A17C44"/>
    <w:rsid w:val="00A2211E"/>
    <w:rsid w:val="00A24499"/>
    <w:rsid w:val="00A25315"/>
    <w:rsid w:val="00A31841"/>
    <w:rsid w:val="00A31995"/>
    <w:rsid w:val="00A36EA0"/>
    <w:rsid w:val="00A41249"/>
    <w:rsid w:val="00A421CC"/>
    <w:rsid w:val="00A433BD"/>
    <w:rsid w:val="00A51A16"/>
    <w:rsid w:val="00A53838"/>
    <w:rsid w:val="00A5480B"/>
    <w:rsid w:val="00A57AFF"/>
    <w:rsid w:val="00A57DB9"/>
    <w:rsid w:val="00A600FF"/>
    <w:rsid w:val="00A63354"/>
    <w:rsid w:val="00A70A5A"/>
    <w:rsid w:val="00A750E5"/>
    <w:rsid w:val="00A76FD3"/>
    <w:rsid w:val="00A82882"/>
    <w:rsid w:val="00A850E2"/>
    <w:rsid w:val="00A8681C"/>
    <w:rsid w:val="00A90F8A"/>
    <w:rsid w:val="00A91890"/>
    <w:rsid w:val="00A92322"/>
    <w:rsid w:val="00A95ACD"/>
    <w:rsid w:val="00AA2C6C"/>
    <w:rsid w:val="00AA3AA4"/>
    <w:rsid w:val="00AA45BF"/>
    <w:rsid w:val="00AA4658"/>
    <w:rsid w:val="00AA7FA1"/>
    <w:rsid w:val="00AB4106"/>
    <w:rsid w:val="00AB695B"/>
    <w:rsid w:val="00AC20F2"/>
    <w:rsid w:val="00AC7DEB"/>
    <w:rsid w:val="00AD581F"/>
    <w:rsid w:val="00AE5835"/>
    <w:rsid w:val="00AE5F48"/>
    <w:rsid w:val="00AE6106"/>
    <w:rsid w:val="00AE7B0F"/>
    <w:rsid w:val="00AF0C52"/>
    <w:rsid w:val="00AF3375"/>
    <w:rsid w:val="00AF3C6A"/>
    <w:rsid w:val="00AF5B1D"/>
    <w:rsid w:val="00B05778"/>
    <w:rsid w:val="00B0578C"/>
    <w:rsid w:val="00B05F39"/>
    <w:rsid w:val="00B068D3"/>
    <w:rsid w:val="00B06C6A"/>
    <w:rsid w:val="00B13A4D"/>
    <w:rsid w:val="00B15BE0"/>
    <w:rsid w:val="00B202F7"/>
    <w:rsid w:val="00B242C6"/>
    <w:rsid w:val="00B24F03"/>
    <w:rsid w:val="00B25A73"/>
    <w:rsid w:val="00B270AF"/>
    <w:rsid w:val="00B309B6"/>
    <w:rsid w:val="00B412BD"/>
    <w:rsid w:val="00B42826"/>
    <w:rsid w:val="00B4505B"/>
    <w:rsid w:val="00B45411"/>
    <w:rsid w:val="00B455CE"/>
    <w:rsid w:val="00B45EE8"/>
    <w:rsid w:val="00B46127"/>
    <w:rsid w:val="00B57AD9"/>
    <w:rsid w:val="00B6048D"/>
    <w:rsid w:val="00B61092"/>
    <w:rsid w:val="00B61FC3"/>
    <w:rsid w:val="00B709BB"/>
    <w:rsid w:val="00B738D2"/>
    <w:rsid w:val="00B739C3"/>
    <w:rsid w:val="00B74416"/>
    <w:rsid w:val="00B75A81"/>
    <w:rsid w:val="00B80352"/>
    <w:rsid w:val="00B8426B"/>
    <w:rsid w:val="00B86D13"/>
    <w:rsid w:val="00B913DE"/>
    <w:rsid w:val="00B9164F"/>
    <w:rsid w:val="00BA1499"/>
    <w:rsid w:val="00BB0665"/>
    <w:rsid w:val="00BB1500"/>
    <w:rsid w:val="00BB6CEC"/>
    <w:rsid w:val="00BC0F06"/>
    <w:rsid w:val="00BC1084"/>
    <w:rsid w:val="00BC5CD3"/>
    <w:rsid w:val="00BC66CB"/>
    <w:rsid w:val="00BD2E4B"/>
    <w:rsid w:val="00BD5648"/>
    <w:rsid w:val="00BD5FD6"/>
    <w:rsid w:val="00BD620E"/>
    <w:rsid w:val="00BD6396"/>
    <w:rsid w:val="00BE3731"/>
    <w:rsid w:val="00BE6B19"/>
    <w:rsid w:val="00BE7724"/>
    <w:rsid w:val="00BF1DDF"/>
    <w:rsid w:val="00BF3806"/>
    <w:rsid w:val="00BF4017"/>
    <w:rsid w:val="00BF7977"/>
    <w:rsid w:val="00C03106"/>
    <w:rsid w:val="00C04BAB"/>
    <w:rsid w:val="00C12858"/>
    <w:rsid w:val="00C130C5"/>
    <w:rsid w:val="00C13721"/>
    <w:rsid w:val="00C15EDE"/>
    <w:rsid w:val="00C16796"/>
    <w:rsid w:val="00C22EB2"/>
    <w:rsid w:val="00C234F7"/>
    <w:rsid w:val="00C2369D"/>
    <w:rsid w:val="00C23F68"/>
    <w:rsid w:val="00C25B73"/>
    <w:rsid w:val="00C268F3"/>
    <w:rsid w:val="00C3004F"/>
    <w:rsid w:val="00C31BEE"/>
    <w:rsid w:val="00C37AE5"/>
    <w:rsid w:val="00C41E99"/>
    <w:rsid w:val="00C501EA"/>
    <w:rsid w:val="00C52240"/>
    <w:rsid w:val="00C538C8"/>
    <w:rsid w:val="00C55C6F"/>
    <w:rsid w:val="00C57579"/>
    <w:rsid w:val="00C66B69"/>
    <w:rsid w:val="00C74DB9"/>
    <w:rsid w:val="00C76531"/>
    <w:rsid w:val="00C85C18"/>
    <w:rsid w:val="00C929BA"/>
    <w:rsid w:val="00C9521C"/>
    <w:rsid w:val="00CA2B69"/>
    <w:rsid w:val="00CA4E77"/>
    <w:rsid w:val="00CA620F"/>
    <w:rsid w:val="00CA7D33"/>
    <w:rsid w:val="00CB358C"/>
    <w:rsid w:val="00CB4945"/>
    <w:rsid w:val="00CB53B7"/>
    <w:rsid w:val="00CB65D4"/>
    <w:rsid w:val="00CB6C24"/>
    <w:rsid w:val="00CC18EF"/>
    <w:rsid w:val="00CD1AA5"/>
    <w:rsid w:val="00CD2FB3"/>
    <w:rsid w:val="00CD32AC"/>
    <w:rsid w:val="00CD33D4"/>
    <w:rsid w:val="00CD5D4D"/>
    <w:rsid w:val="00CD5F03"/>
    <w:rsid w:val="00CE1CB3"/>
    <w:rsid w:val="00CE1FF7"/>
    <w:rsid w:val="00CE2662"/>
    <w:rsid w:val="00CF63F9"/>
    <w:rsid w:val="00CF689F"/>
    <w:rsid w:val="00D0155C"/>
    <w:rsid w:val="00D01E50"/>
    <w:rsid w:val="00D07106"/>
    <w:rsid w:val="00D079E8"/>
    <w:rsid w:val="00D11E92"/>
    <w:rsid w:val="00D12171"/>
    <w:rsid w:val="00D20B6C"/>
    <w:rsid w:val="00D22742"/>
    <w:rsid w:val="00D247FB"/>
    <w:rsid w:val="00D300EE"/>
    <w:rsid w:val="00D3058D"/>
    <w:rsid w:val="00D305A6"/>
    <w:rsid w:val="00D31595"/>
    <w:rsid w:val="00D31649"/>
    <w:rsid w:val="00D33257"/>
    <w:rsid w:val="00D3575D"/>
    <w:rsid w:val="00D4594F"/>
    <w:rsid w:val="00D460D4"/>
    <w:rsid w:val="00D5167A"/>
    <w:rsid w:val="00D54C02"/>
    <w:rsid w:val="00D54F65"/>
    <w:rsid w:val="00D57C37"/>
    <w:rsid w:val="00D61042"/>
    <w:rsid w:val="00D61E4F"/>
    <w:rsid w:val="00D62BE0"/>
    <w:rsid w:val="00D70F92"/>
    <w:rsid w:val="00D71315"/>
    <w:rsid w:val="00D715DE"/>
    <w:rsid w:val="00D73223"/>
    <w:rsid w:val="00D77052"/>
    <w:rsid w:val="00D77C51"/>
    <w:rsid w:val="00D801CE"/>
    <w:rsid w:val="00D84080"/>
    <w:rsid w:val="00D91414"/>
    <w:rsid w:val="00D91912"/>
    <w:rsid w:val="00D92349"/>
    <w:rsid w:val="00D933E1"/>
    <w:rsid w:val="00D94B1F"/>
    <w:rsid w:val="00DA1CE9"/>
    <w:rsid w:val="00DA1DA9"/>
    <w:rsid w:val="00DA336E"/>
    <w:rsid w:val="00DA4932"/>
    <w:rsid w:val="00DB0677"/>
    <w:rsid w:val="00DB15E8"/>
    <w:rsid w:val="00DB3EEE"/>
    <w:rsid w:val="00DB5982"/>
    <w:rsid w:val="00DC0482"/>
    <w:rsid w:val="00DD3E12"/>
    <w:rsid w:val="00DE1F3F"/>
    <w:rsid w:val="00DE5489"/>
    <w:rsid w:val="00DE5E31"/>
    <w:rsid w:val="00DE66C2"/>
    <w:rsid w:val="00DE7822"/>
    <w:rsid w:val="00DF1F19"/>
    <w:rsid w:val="00DF22ED"/>
    <w:rsid w:val="00DF3985"/>
    <w:rsid w:val="00DF45A8"/>
    <w:rsid w:val="00DF4E3F"/>
    <w:rsid w:val="00DF565E"/>
    <w:rsid w:val="00E03450"/>
    <w:rsid w:val="00E04BD1"/>
    <w:rsid w:val="00E06A7E"/>
    <w:rsid w:val="00E15BBF"/>
    <w:rsid w:val="00E16149"/>
    <w:rsid w:val="00E236C1"/>
    <w:rsid w:val="00E25756"/>
    <w:rsid w:val="00E27851"/>
    <w:rsid w:val="00E3045E"/>
    <w:rsid w:val="00E3187D"/>
    <w:rsid w:val="00E338B0"/>
    <w:rsid w:val="00E3436A"/>
    <w:rsid w:val="00E42913"/>
    <w:rsid w:val="00E4342D"/>
    <w:rsid w:val="00E47B27"/>
    <w:rsid w:val="00E506B4"/>
    <w:rsid w:val="00E51F00"/>
    <w:rsid w:val="00E53C98"/>
    <w:rsid w:val="00E554E1"/>
    <w:rsid w:val="00E55BE1"/>
    <w:rsid w:val="00E562AB"/>
    <w:rsid w:val="00E56D43"/>
    <w:rsid w:val="00E618CD"/>
    <w:rsid w:val="00E76FF0"/>
    <w:rsid w:val="00E804F2"/>
    <w:rsid w:val="00E817F8"/>
    <w:rsid w:val="00E845FC"/>
    <w:rsid w:val="00E86EEF"/>
    <w:rsid w:val="00E86FC4"/>
    <w:rsid w:val="00E93142"/>
    <w:rsid w:val="00E93241"/>
    <w:rsid w:val="00EA1BF8"/>
    <w:rsid w:val="00EA5455"/>
    <w:rsid w:val="00EA7152"/>
    <w:rsid w:val="00EB7767"/>
    <w:rsid w:val="00EC2F28"/>
    <w:rsid w:val="00EC4DD6"/>
    <w:rsid w:val="00EC5331"/>
    <w:rsid w:val="00EC5DC8"/>
    <w:rsid w:val="00EC76B8"/>
    <w:rsid w:val="00EE2DAD"/>
    <w:rsid w:val="00EE4BDA"/>
    <w:rsid w:val="00EE5484"/>
    <w:rsid w:val="00EF449F"/>
    <w:rsid w:val="00EF44BB"/>
    <w:rsid w:val="00EF6DE6"/>
    <w:rsid w:val="00EF776F"/>
    <w:rsid w:val="00F036E7"/>
    <w:rsid w:val="00F12803"/>
    <w:rsid w:val="00F27403"/>
    <w:rsid w:val="00F346BC"/>
    <w:rsid w:val="00F353AC"/>
    <w:rsid w:val="00F35C25"/>
    <w:rsid w:val="00F42EA6"/>
    <w:rsid w:val="00F430D4"/>
    <w:rsid w:val="00F440B3"/>
    <w:rsid w:val="00F46234"/>
    <w:rsid w:val="00F47C32"/>
    <w:rsid w:val="00F50FFB"/>
    <w:rsid w:val="00F54B0C"/>
    <w:rsid w:val="00F57072"/>
    <w:rsid w:val="00F648F3"/>
    <w:rsid w:val="00F7096A"/>
    <w:rsid w:val="00F74F6B"/>
    <w:rsid w:val="00F775F9"/>
    <w:rsid w:val="00F80D1E"/>
    <w:rsid w:val="00F826D5"/>
    <w:rsid w:val="00F84C1A"/>
    <w:rsid w:val="00F87B44"/>
    <w:rsid w:val="00F90909"/>
    <w:rsid w:val="00F91602"/>
    <w:rsid w:val="00F92B1C"/>
    <w:rsid w:val="00F9493C"/>
    <w:rsid w:val="00FA645E"/>
    <w:rsid w:val="00FB1816"/>
    <w:rsid w:val="00FB1D24"/>
    <w:rsid w:val="00FB2265"/>
    <w:rsid w:val="00FB6F2E"/>
    <w:rsid w:val="00FC0EC3"/>
    <w:rsid w:val="00FC11B5"/>
    <w:rsid w:val="00FC46A2"/>
    <w:rsid w:val="00FC526E"/>
    <w:rsid w:val="00FD6417"/>
    <w:rsid w:val="00FE0B50"/>
    <w:rsid w:val="00FE3D6F"/>
    <w:rsid w:val="00FF4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9D1EC9-C17B-498C-8636-3A007594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855167"/>
    <w:pPr>
      <w:suppressAutoHyphens/>
      <w:spacing w:line="220" w:lineRule="exact"/>
      <w:ind w:firstLine="227"/>
      <w:jc w:val="both"/>
    </w:pPr>
    <w:rPr>
      <w:rFonts w:ascii="Arial" w:hAnsi="Arial"/>
      <w:lang w:val="en-US" w:eastAsia="es-ES"/>
    </w:rPr>
  </w:style>
  <w:style w:type="paragraph" w:styleId="Ttulo1">
    <w:name w:val="heading 1"/>
    <w:basedOn w:val="Normal"/>
    <w:next w:val="Normal"/>
    <w:qFormat/>
    <w:rsid w:val="002E46C1"/>
    <w:pPr>
      <w:keepNext/>
      <w:keepLines/>
      <w:numPr>
        <w:numId w:val="1"/>
      </w:numPr>
      <w:spacing w:before="400" w:after="200"/>
      <w:ind w:firstLine="0"/>
      <w:jc w:val="left"/>
      <w:outlineLvl w:val="0"/>
    </w:pPr>
    <w:rPr>
      <w:caps/>
    </w:rPr>
  </w:style>
  <w:style w:type="paragraph" w:styleId="Ttulo2">
    <w:name w:val="heading 2"/>
    <w:basedOn w:val="Normal"/>
    <w:next w:val="Normal"/>
    <w:qFormat/>
    <w:rsid w:val="002E46C1"/>
    <w:pPr>
      <w:keepNext/>
      <w:keepLines/>
      <w:numPr>
        <w:ilvl w:val="1"/>
        <w:numId w:val="1"/>
      </w:numPr>
      <w:spacing w:before="300" w:after="100"/>
      <w:jc w:val="left"/>
      <w:outlineLvl w:val="1"/>
    </w:pPr>
    <w:rPr>
      <w:i/>
    </w:rPr>
  </w:style>
  <w:style w:type="paragraph" w:styleId="Ttulo3">
    <w:name w:val="heading 3"/>
    <w:basedOn w:val="Normal"/>
    <w:next w:val="Normal"/>
    <w:qFormat/>
    <w:rsid w:val="004C54E2"/>
    <w:pPr>
      <w:keepNext/>
      <w:keepLines/>
      <w:numPr>
        <w:ilvl w:val="2"/>
        <w:numId w:val="1"/>
      </w:numPr>
      <w:spacing w:before="200"/>
      <w:jc w:val="left"/>
      <w:outlineLvl w:val="2"/>
    </w:pPr>
    <w:rPr>
      <w:i/>
    </w:rPr>
  </w:style>
  <w:style w:type="paragraph" w:styleId="Ttulo4">
    <w:name w:val="heading 4"/>
    <w:basedOn w:val="Normal"/>
    <w:next w:val="Normal"/>
    <w:qFormat/>
    <w:rsid w:val="004C54E2"/>
    <w:pPr>
      <w:keepNext/>
      <w:numPr>
        <w:ilvl w:val="3"/>
        <w:numId w:val="1"/>
      </w:numPr>
      <w:spacing w:before="200"/>
      <w:outlineLvl w:val="3"/>
    </w:pPr>
  </w:style>
  <w:style w:type="paragraph" w:styleId="Ttulo5">
    <w:name w:val="heading 5"/>
    <w:basedOn w:val="Normal"/>
    <w:next w:val="Normal"/>
    <w:rsid w:val="004C54E2"/>
    <w:pPr>
      <w:numPr>
        <w:ilvl w:val="4"/>
        <w:numId w:val="1"/>
      </w:numPr>
      <w:spacing w:before="240" w:after="60"/>
      <w:outlineLvl w:val="4"/>
    </w:pPr>
    <w:rPr>
      <w:sz w:val="22"/>
    </w:rPr>
  </w:style>
  <w:style w:type="paragraph" w:styleId="Ttulo6">
    <w:name w:val="heading 6"/>
    <w:basedOn w:val="Normal"/>
    <w:next w:val="Normal"/>
    <w:rsid w:val="004C54E2"/>
    <w:pPr>
      <w:numPr>
        <w:ilvl w:val="5"/>
        <w:numId w:val="1"/>
      </w:numPr>
      <w:spacing w:before="240" w:after="60"/>
      <w:outlineLvl w:val="5"/>
    </w:pPr>
    <w:rPr>
      <w:i/>
      <w:sz w:val="22"/>
    </w:rPr>
  </w:style>
  <w:style w:type="paragraph" w:styleId="Ttulo7">
    <w:name w:val="heading 7"/>
    <w:basedOn w:val="Normal"/>
    <w:next w:val="Normal"/>
    <w:rsid w:val="004C54E2"/>
    <w:pPr>
      <w:numPr>
        <w:ilvl w:val="6"/>
        <w:numId w:val="1"/>
      </w:numPr>
      <w:spacing w:before="240" w:after="60"/>
      <w:outlineLvl w:val="6"/>
    </w:pPr>
  </w:style>
  <w:style w:type="paragraph" w:styleId="Ttulo8">
    <w:name w:val="heading 8"/>
    <w:basedOn w:val="Normal"/>
    <w:next w:val="Normal"/>
    <w:rsid w:val="004C54E2"/>
    <w:pPr>
      <w:numPr>
        <w:ilvl w:val="7"/>
        <w:numId w:val="1"/>
      </w:numPr>
      <w:spacing w:before="240" w:after="60"/>
      <w:outlineLvl w:val="7"/>
    </w:pPr>
    <w:rPr>
      <w:i/>
    </w:rPr>
  </w:style>
  <w:style w:type="paragraph" w:styleId="Ttulo9">
    <w:name w:val="heading 9"/>
    <w:basedOn w:val="Normal"/>
    <w:next w:val="Normal"/>
    <w:rsid w:val="004C54E2"/>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articulo">
    <w:name w:val="Titulo articulo"/>
    <w:basedOn w:val="PrimerParrafo"/>
    <w:next w:val="Normal"/>
    <w:autoRedefine/>
    <w:rsid w:val="00514391"/>
    <w:pPr>
      <w:spacing w:after="60" w:line="280" w:lineRule="exact"/>
      <w:jc w:val="center"/>
    </w:pPr>
    <w:rPr>
      <w:sz w:val="28"/>
      <w:szCs w:val="28"/>
    </w:rPr>
  </w:style>
  <w:style w:type="paragraph" w:customStyle="1" w:styleId="PrimerParrafo">
    <w:name w:val="Primer Parrafo"/>
    <w:basedOn w:val="Normal"/>
    <w:next w:val="Normal"/>
    <w:autoRedefine/>
    <w:rsid w:val="005A05B6"/>
    <w:pPr>
      <w:tabs>
        <w:tab w:val="left" w:pos="4706"/>
      </w:tabs>
      <w:ind w:firstLine="0"/>
    </w:pPr>
    <w:rPr>
      <w:szCs w:val="18"/>
      <w:lang w:val="es-MX"/>
    </w:rPr>
  </w:style>
  <w:style w:type="paragraph" w:customStyle="1" w:styleId="Autores">
    <w:name w:val="Autores"/>
    <w:basedOn w:val="Tituloarticuloingles"/>
    <w:rsid w:val="00855167"/>
    <w:pPr>
      <w:tabs>
        <w:tab w:val="clear" w:pos="4706"/>
      </w:tabs>
      <w:spacing w:after="240" w:line="220" w:lineRule="exact"/>
    </w:pPr>
    <w:rPr>
      <w:b/>
      <w:caps w:val="0"/>
      <w:sz w:val="18"/>
    </w:rPr>
  </w:style>
  <w:style w:type="paragraph" w:customStyle="1" w:styleId="Tituloarticuloingles">
    <w:name w:val="Titulo articulo ingles"/>
    <w:basedOn w:val="Normal"/>
    <w:next w:val="Autores"/>
    <w:rsid w:val="009B6333"/>
    <w:pPr>
      <w:tabs>
        <w:tab w:val="left" w:pos="4706"/>
      </w:tabs>
      <w:spacing w:after="360" w:line="280" w:lineRule="exact"/>
      <w:ind w:firstLine="0"/>
      <w:jc w:val="center"/>
    </w:pPr>
    <w:rPr>
      <w:caps/>
      <w:sz w:val="22"/>
    </w:rPr>
  </w:style>
  <w:style w:type="paragraph" w:customStyle="1" w:styleId="Resumen">
    <w:name w:val="Resumen"/>
    <w:basedOn w:val="Normal"/>
    <w:next w:val="Normal"/>
    <w:rsid w:val="00907445"/>
    <w:pPr>
      <w:spacing w:before="240" w:after="240"/>
      <w:ind w:firstLine="0"/>
    </w:pPr>
    <w:rPr>
      <w:sz w:val="18"/>
    </w:rPr>
  </w:style>
  <w:style w:type="paragraph" w:customStyle="1" w:styleId="Referencia">
    <w:name w:val="Referencia"/>
    <w:basedOn w:val="Normal"/>
    <w:link w:val="ReferenciaCar"/>
    <w:autoRedefine/>
    <w:rsid w:val="00FC526E"/>
    <w:pPr>
      <w:ind w:left="227" w:hanging="227"/>
    </w:pPr>
    <w:rPr>
      <w:lang w:val="nl-NL"/>
    </w:rPr>
  </w:style>
  <w:style w:type="paragraph" w:customStyle="1" w:styleId="Textofigura">
    <w:name w:val="Texto figura"/>
    <w:basedOn w:val="PrimerParrafo"/>
    <w:next w:val="Titulofigura"/>
    <w:rsid w:val="00C130C5"/>
    <w:pPr>
      <w:spacing w:line="240" w:lineRule="auto"/>
    </w:pPr>
    <w:rPr>
      <w:sz w:val="16"/>
    </w:rPr>
  </w:style>
  <w:style w:type="paragraph" w:customStyle="1" w:styleId="Titulofigura">
    <w:name w:val="Titulo figura"/>
    <w:basedOn w:val="Normal"/>
    <w:next w:val="Normal"/>
    <w:autoRedefine/>
    <w:rsid w:val="00317B20"/>
    <w:pPr>
      <w:spacing w:line="200" w:lineRule="exact"/>
      <w:ind w:firstLine="0"/>
    </w:pPr>
    <w:rPr>
      <w:sz w:val="18"/>
    </w:rPr>
  </w:style>
  <w:style w:type="paragraph" w:customStyle="1" w:styleId="Ecuacion">
    <w:name w:val="Ecuacion"/>
    <w:basedOn w:val="PrimerParrafo"/>
    <w:next w:val="PrimerParrafo"/>
    <w:rsid w:val="004C54E2"/>
    <w:pPr>
      <w:tabs>
        <w:tab w:val="right" w:pos="4706"/>
      </w:tabs>
      <w:spacing w:before="100" w:after="100" w:line="240" w:lineRule="auto"/>
      <w:jc w:val="left"/>
    </w:pPr>
  </w:style>
  <w:style w:type="paragraph" w:customStyle="1" w:styleId="Encabezadoimpar">
    <w:name w:val="Encabezado impar"/>
    <w:basedOn w:val="Encabezado"/>
    <w:qFormat/>
    <w:rsid w:val="00D73223"/>
    <w:pPr>
      <w:ind w:firstLine="0"/>
      <w:jc w:val="right"/>
    </w:pPr>
    <w:rPr>
      <w:sz w:val="18"/>
      <w:szCs w:val="18"/>
      <w:lang w:val="es-ES"/>
    </w:rPr>
  </w:style>
  <w:style w:type="paragraph" w:customStyle="1" w:styleId="Titulotabla">
    <w:name w:val="Titulo tabla"/>
    <w:basedOn w:val="Normal"/>
    <w:next w:val="Normal"/>
    <w:autoRedefine/>
    <w:rsid w:val="002B17AC"/>
    <w:pPr>
      <w:spacing w:line="200" w:lineRule="exact"/>
      <w:ind w:firstLine="0"/>
    </w:pPr>
    <w:rPr>
      <w:sz w:val="18"/>
    </w:rPr>
  </w:style>
  <w:style w:type="paragraph" w:customStyle="1" w:styleId="Divisiontabla">
    <w:name w:val="Division tabla"/>
    <w:basedOn w:val="Normal"/>
    <w:next w:val="Textotabla"/>
    <w:rsid w:val="00E56D43"/>
    <w:pPr>
      <w:spacing w:after="40" w:line="40" w:lineRule="exact"/>
      <w:ind w:firstLine="0"/>
      <w:jc w:val="left"/>
    </w:pPr>
    <w:rPr>
      <w:sz w:val="16"/>
    </w:rPr>
  </w:style>
  <w:style w:type="paragraph" w:customStyle="1" w:styleId="Textotabla">
    <w:name w:val="Texto tabla"/>
    <w:basedOn w:val="Normal"/>
    <w:rsid w:val="00317B20"/>
    <w:pPr>
      <w:spacing w:line="180" w:lineRule="exact"/>
      <w:ind w:firstLine="0"/>
      <w:jc w:val="left"/>
    </w:pPr>
    <w:rPr>
      <w:sz w:val="16"/>
    </w:rPr>
  </w:style>
  <w:style w:type="paragraph" w:customStyle="1" w:styleId="Encabezadopar">
    <w:name w:val="Encabezado par"/>
    <w:basedOn w:val="Encabezado"/>
    <w:qFormat/>
    <w:rsid w:val="008C658B"/>
    <w:pPr>
      <w:ind w:firstLine="0"/>
      <w:jc w:val="left"/>
    </w:pPr>
    <w:rPr>
      <w:sz w:val="18"/>
      <w:szCs w:val="18"/>
    </w:rPr>
  </w:style>
  <w:style w:type="paragraph" w:customStyle="1" w:styleId="ResumenIngles">
    <w:name w:val="Resumen Ingles"/>
    <w:basedOn w:val="Normal"/>
    <w:next w:val="Resumen"/>
    <w:rsid w:val="008C1C61"/>
    <w:pPr>
      <w:spacing w:after="400"/>
      <w:ind w:firstLine="0"/>
    </w:pPr>
    <w:rPr>
      <w:sz w:val="18"/>
    </w:rPr>
  </w:style>
  <w:style w:type="paragraph" w:customStyle="1" w:styleId="Listasimbolos">
    <w:name w:val="Lista simbolos"/>
    <w:basedOn w:val="Normal"/>
    <w:rsid w:val="004C54E2"/>
    <w:pPr>
      <w:ind w:left="227" w:hanging="227"/>
    </w:pPr>
  </w:style>
  <w:style w:type="paragraph" w:customStyle="1" w:styleId="Listanumeros">
    <w:name w:val="Lista numeros"/>
    <w:basedOn w:val="Listasimbolos"/>
    <w:rsid w:val="004C54E2"/>
  </w:style>
  <w:style w:type="paragraph" w:customStyle="1" w:styleId="Estilo10ptInterlineadoExacto12pto">
    <w:name w:val="Estilo 10 pt Interlineado:  Exacto 12 pto"/>
    <w:basedOn w:val="Normal"/>
    <w:autoRedefine/>
    <w:rsid w:val="00674AC3"/>
  </w:style>
  <w:style w:type="paragraph" w:customStyle="1" w:styleId="EstiloFirstparagraph10ptCursiva">
    <w:name w:val="Estilo First paragraph + 10 pt Cursiva"/>
    <w:basedOn w:val="Normal"/>
    <w:autoRedefine/>
    <w:rsid w:val="00674AC3"/>
    <w:pPr>
      <w:tabs>
        <w:tab w:val="left" w:pos="4706"/>
      </w:tabs>
      <w:ind w:firstLine="0"/>
    </w:pPr>
    <w:rPr>
      <w:i/>
      <w:iCs/>
    </w:rPr>
  </w:style>
  <w:style w:type="paragraph" w:customStyle="1" w:styleId="EstiloFirstparagraph10ptInterlineadoExacto12pto">
    <w:name w:val="Estilo First paragraph + 10 pt Interlineado:  Exacto 12 pto"/>
    <w:basedOn w:val="Normal"/>
    <w:autoRedefine/>
    <w:rsid w:val="00674AC3"/>
    <w:pPr>
      <w:tabs>
        <w:tab w:val="left" w:pos="4706"/>
      </w:tabs>
      <w:ind w:firstLine="0"/>
    </w:pPr>
  </w:style>
  <w:style w:type="paragraph" w:customStyle="1" w:styleId="EstiloFirstparagraph10pt">
    <w:name w:val="Estilo First paragraph + 10 pt"/>
    <w:basedOn w:val="Normal"/>
    <w:autoRedefine/>
    <w:rsid w:val="00674AC3"/>
    <w:pPr>
      <w:tabs>
        <w:tab w:val="left" w:pos="4706"/>
      </w:tabs>
      <w:ind w:firstLine="0"/>
    </w:pPr>
  </w:style>
  <w:style w:type="paragraph" w:customStyle="1" w:styleId="EstiloFirstparagraph10pt1">
    <w:name w:val="Estilo First paragraph + 10 pt1"/>
    <w:basedOn w:val="Normal"/>
    <w:autoRedefine/>
    <w:rsid w:val="00674AC3"/>
    <w:pPr>
      <w:tabs>
        <w:tab w:val="left" w:pos="4706"/>
      </w:tabs>
      <w:ind w:firstLine="0"/>
    </w:pPr>
  </w:style>
  <w:style w:type="paragraph" w:customStyle="1" w:styleId="EstiloReferencetextCursiva">
    <w:name w:val="Estilo Reference text + Cursiva"/>
    <w:basedOn w:val="Referencia"/>
    <w:link w:val="EstiloReferencetextCursivaCar"/>
    <w:autoRedefine/>
    <w:rsid w:val="00674AC3"/>
    <w:rPr>
      <w:rFonts w:ascii="Times New Roman" w:hAnsi="Times New Roman"/>
      <w:i/>
      <w:iCs/>
    </w:rPr>
  </w:style>
  <w:style w:type="character" w:customStyle="1" w:styleId="ReferenciaCar">
    <w:name w:val="Referencia Car"/>
    <w:link w:val="Referencia"/>
    <w:rsid w:val="00FC526E"/>
    <w:rPr>
      <w:rFonts w:ascii="Arial" w:hAnsi="Arial"/>
      <w:lang w:val="nl-NL" w:eastAsia="es-ES"/>
    </w:rPr>
  </w:style>
  <w:style w:type="character" w:customStyle="1" w:styleId="EstiloReferencetextCursivaCar">
    <w:name w:val="Estilo Reference text + Cursiva Car"/>
    <w:link w:val="EstiloReferencetextCursiva"/>
    <w:rsid w:val="00FC0EC3"/>
    <w:rPr>
      <w:i/>
      <w:iCs/>
      <w:lang w:val="nl-NL" w:eastAsia="es-ES" w:bidi="ar-SA"/>
    </w:rPr>
  </w:style>
  <w:style w:type="paragraph" w:styleId="Encabezado">
    <w:name w:val="header"/>
    <w:aliases w:val="Encabezado Inicial"/>
    <w:basedOn w:val="Normal"/>
    <w:link w:val="EncabezadoCar"/>
    <w:uiPriority w:val="99"/>
    <w:rsid w:val="00EF449F"/>
    <w:pPr>
      <w:tabs>
        <w:tab w:val="center" w:pos="4252"/>
        <w:tab w:val="right" w:pos="8504"/>
      </w:tabs>
    </w:pPr>
    <w:rPr>
      <w:rFonts w:ascii="Times New Roman" w:hAnsi="Times New Roman"/>
      <w:lang w:eastAsia="x-none"/>
    </w:rPr>
  </w:style>
  <w:style w:type="character" w:customStyle="1" w:styleId="EncabezadoCar">
    <w:name w:val="Encabezado Car"/>
    <w:aliases w:val="Encabezado Inicial Car"/>
    <w:link w:val="Encabezado"/>
    <w:uiPriority w:val="99"/>
    <w:rsid w:val="00EF449F"/>
    <w:rPr>
      <w:lang w:val="en-US"/>
    </w:rPr>
  </w:style>
  <w:style w:type="paragraph" w:styleId="Piedepgina">
    <w:name w:val="footer"/>
    <w:basedOn w:val="Normal"/>
    <w:link w:val="PiedepginaCar"/>
    <w:uiPriority w:val="99"/>
    <w:rsid w:val="002E46C1"/>
    <w:pPr>
      <w:tabs>
        <w:tab w:val="center" w:pos="4252"/>
        <w:tab w:val="right" w:pos="8504"/>
      </w:tabs>
      <w:ind w:firstLine="0"/>
      <w:jc w:val="center"/>
    </w:pPr>
  </w:style>
  <w:style w:type="character" w:customStyle="1" w:styleId="PiedepginaCar">
    <w:name w:val="Pie de página Car"/>
    <w:link w:val="Piedepgina"/>
    <w:uiPriority w:val="99"/>
    <w:rsid w:val="002E46C1"/>
    <w:rPr>
      <w:rFonts w:ascii="Arial" w:hAnsi="Arial"/>
      <w:lang w:val="en-US" w:eastAsia="es-ES"/>
    </w:rPr>
  </w:style>
  <w:style w:type="paragraph" w:styleId="Textodeglobo">
    <w:name w:val="Balloon Text"/>
    <w:basedOn w:val="Normal"/>
    <w:link w:val="TextodegloboCar"/>
    <w:rsid w:val="00EF449F"/>
    <w:pPr>
      <w:spacing w:line="240" w:lineRule="auto"/>
    </w:pPr>
    <w:rPr>
      <w:rFonts w:ascii="Tahoma" w:hAnsi="Tahoma"/>
      <w:sz w:val="16"/>
      <w:szCs w:val="16"/>
      <w:lang w:eastAsia="x-none"/>
    </w:rPr>
  </w:style>
  <w:style w:type="character" w:customStyle="1" w:styleId="TextodegloboCar">
    <w:name w:val="Texto de globo Car"/>
    <w:link w:val="Textodeglobo"/>
    <w:rsid w:val="00EF449F"/>
    <w:rPr>
      <w:rFonts w:ascii="Tahoma" w:hAnsi="Tahoma" w:cs="Tahoma"/>
      <w:sz w:val="16"/>
      <w:szCs w:val="16"/>
      <w:lang w:val="en-US"/>
    </w:rPr>
  </w:style>
  <w:style w:type="table" w:styleId="Tablaconcuadrcula">
    <w:name w:val="Table Grid"/>
    <w:basedOn w:val="Tablanormal"/>
    <w:uiPriority w:val="39"/>
    <w:rsid w:val="00536F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liacion">
    <w:name w:val="Filiacion"/>
    <w:basedOn w:val="Autores"/>
    <w:rsid w:val="008C1C61"/>
    <w:pPr>
      <w:widowControl w:val="0"/>
      <w:suppressAutoHyphens w:val="0"/>
      <w:spacing w:after="40"/>
    </w:pPr>
    <w:rPr>
      <w:b w:val="0"/>
      <w:lang w:val="es-MX"/>
    </w:rPr>
  </w:style>
  <w:style w:type="paragraph" w:customStyle="1" w:styleId="EstiloAffilationSuperndice">
    <w:name w:val="Estilo Affilation + Superíndice"/>
    <w:basedOn w:val="Filiacion"/>
    <w:rsid w:val="0080000E"/>
    <w:pPr>
      <w:spacing w:after="60"/>
    </w:pPr>
    <w:rPr>
      <w:iCs/>
      <w:vertAlign w:val="superscript"/>
    </w:rPr>
  </w:style>
  <w:style w:type="paragraph" w:customStyle="1" w:styleId="EstiloAUTHORSSuperndice">
    <w:name w:val="Estilo AUTHORS + Superíndice"/>
    <w:basedOn w:val="Autores"/>
    <w:rsid w:val="001171FF"/>
    <w:pPr>
      <w:numPr>
        <w:numId w:val="17"/>
      </w:numPr>
    </w:pPr>
    <w:rPr>
      <w:bCs/>
      <w:iCs/>
      <w:vertAlign w:val="superscript"/>
    </w:rPr>
  </w:style>
  <w:style w:type="character" w:customStyle="1" w:styleId="hps">
    <w:name w:val="hps"/>
    <w:basedOn w:val="Fuentedeprrafopredeter"/>
    <w:rsid w:val="003369E0"/>
  </w:style>
  <w:style w:type="character" w:customStyle="1" w:styleId="atn">
    <w:name w:val="atn"/>
    <w:basedOn w:val="Fuentedeprrafopredeter"/>
    <w:rsid w:val="003369E0"/>
  </w:style>
  <w:style w:type="character" w:styleId="Hipervnculo">
    <w:name w:val="Hyperlink"/>
    <w:basedOn w:val="Fuentedeprrafopredeter"/>
    <w:uiPriority w:val="99"/>
    <w:unhideWhenUsed/>
    <w:rsid w:val="008E16EA"/>
    <w:rPr>
      <w:color w:val="0563C1" w:themeColor="hyperlink"/>
      <w:u w:val="single"/>
    </w:rPr>
  </w:style>
  <w:style w:type="paragraph" w:styleId="Prrafodelista">
    <w:name w:val="List Paragraph"/>
    <w:basedOn w:val="Normal"/>
    <w:uiPriority w:val="34"/>
    <w:qFormat/>
    <w:rsid w:val="0082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wmf"/><Relationship Id="rId39" Type="http://schemas.openxmlformats.org/officeDocument/2006/relationships/oleObject" Target="embeddings/oleObject9.bin"/><Relationship Id="rId21" Type="http://schemas.openxmlformats.org/officeDocument/2006/relationships/image" Target="media/image5.png"/><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9.png"/><Relationship Id="rId50" Type="http://schemas.openxmlformats.org/officeDocument/2006/relationships/oleObject" Target="embeddings/oleObject13.bin"/><Relationship Id="rId55"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oleObject" Target="embeddings/oleObject4.bin"/><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oleObject" Target="embeddings/oleObject12.bin"/><Relationship Id="rId53" Type="http://schemas.openxmlformats.org/officeDocument/2006/relationships/image" Target="media/image24.png"/><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wmf"/><Relationship Id="rId27" Type="http://schemas.openxmlformats.org/officeDocument/2006/relationships/oleObject" Target="embeddings/oleObject3.bin"/><Relationship Id="rId30" Type="http://schemas.openxmlformats.org/officeDocument/2006/relationships/image" Target="media/image10.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0.png"/><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4.wmf"/><Relationship Id="rId46" Type="http://schemas.openxmlformats.org/officeDocument/2006/relationships/image" Target="media/image18.png"/><Relationship Id="rId20" Type="http://schemas.openxmlformats.org/officeDocument/2006/relationships/image" Target="media/image4.png"/><Relationship Id="rId41" Type="http://schemas.openxmlformats.org/officeDocument/2006/relationships/oleObject" Target="embeddings/oleObject10.bin"/><Relationship Id="rId54"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1.wmf"/><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oleObject" Target="embeddings/oleObject5.bin"/><Relationship Id="rId44" Type="http://schemas.openxmlformats.org/officeDocument/2006/relationships/image" Target="media/image17.wmf"/><Relationship Id="rId52" Type="http://schemas.openxmlformats.org/officeDocument/2006/relationships/image" Target="media/image2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BAJOS\SMMS\Formatos\SMMS\SMMSLE_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4171-21EB-4DB1-8A81-9D0EC7B2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SMMSLE_6</Template>
  <TotalTime>0</TotalTime>
  <Pages>8</Pages>
  <Words>4519</Words>
  <Characters>24856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Paper title</vt:lpstr>
    </vt:vector>
  </TitlesOfParts>
  <Company>Instituto de Ingeniería, UNAM</Company>
  <LinksUpToDate>false</LinksUpToDate>
  <CharactersWithSpaces>29317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A.A. Balkema Uitgevers B.V.</dc:creator>
  <cp:keywords/>
  <cp:lastModifiedBy>Jose Roberto Galaviz</cp:lastModifiedBy>
  <cp:revision>2</cp:revision>
  <cp:lastPrinted>2012-03-09T17:01:00Z</cp:lastPrinted>
  <dcterms:created xsi:type="dcterms:W3CDTF">2014-08-29T06:26:00Z</dcterms:created>
  <dcterms:modified xsi:type="dcterms:W3CDTF">2014-08-29T06:26:00Z</dcterms:modified>
</cp:coreProperties>
</file>